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6C453A62" w:rsidR="00F4525C" w:rsidRDefault="00073304" w:rsidP="009B61E5">
          <w:pPr>
            <w:pStyle w:val="VCAADocumenttitle"/>
          </w:pPr>
          <w:r w:rsidRPr="00073304">
            <w:t>Unit 1 Financial Numeracy, Module 2 Focus Areas – Number and Change Winner</w:t>
          </w:r>
          <w:r>
            <w:t>,</w:t>
          </w:r>
          <w:r w:rsidRPr="00073304">
            <w:t xml:space="preserve"> Winner</w:t>
          </w:r>
          <w:r>
            <w:t>,</w:t>
          </w:r>
          <w:r w:rsidRPr="00073304">
            <w:t xml:space="preserve"> Chicken Dinner</w:t>
          </w:r>
        </w:p>
      </w:sdtContent>
    </w:sdt>
    <w:tbl>
      <w:tblPr>
        <w:tblStyle w:val="TableGrid45"/>
        <w:tblW w:w="21683" w:type="dxa"/>
        <w:tblLayout w:type="fixed"/>
        <w:tblCellMar>
          <w:top w:w="108" w:type="dxa"/>
          <w:bottom w:w="108" w:type="dxa"/>
        </w:tblCellMar>
        <w:tblLook w:val="04A0" w:firstRow="1" w:lastRow="0" w:firstColumn="1" w:lastColumn="0" w:noHBand="0" w:noVBand="1"/>
      </w:tblPr>
      <w:tblGrid>
        <w:gridCol w:w="680"/>
        <w:gridCol w:w="1698"/>
        <w:gridCol w:w="1699"/>
        <w:gridCol w:w="1699"/>
        <w:gridCol w:w="1795"/>
        <w:gridCol w:w="1795"/>
        <w:gridCol w:w="1796"/>
        <w:gridCol w:w="1630"/>
        <w:gridCol w:w="1630"/>
        <w:gridCol w:w="1630"/>
        <w:gridCol w:w="1631"/>
        <w:gridCol w:w="4000"/>
      </w:tblGrid>
      <w:tr w:rsidR="00073304" w:rsidRPr="00073304" w14:paraId="48037109" w14:textId="77777777" w:rsidTr="00073304">
        <w:trPr>
          <w:cantSplit/>
          <w:trHeight w:val="2010"/>
        </w:trPr>
        <w:tc>
          <w:tcPr>
            <w:tcW w:w="680" w:type="dxa"/>
            <w:shd w:val="clear" w:color="auto" w:fill="auto"/>
            <w:textDirection w:val="tbRl"/>
            <w:vAlign w:val="center"/>
          </w:tcPr>
          <w:p w14:paraId="3AA661B2" w14:textId="77777777" w:rsidR="00073304" w:rsidRPr="00073304" w:rsidRDefault="00073304" w:rsidP="00073304">
            <w:pPr>
              <w:ind w:left="113" w:right="113"/>
              <w:jc w:val="center"/>
              <w:rPr>
                <w:rFonts w:ascii="Arial Narrow" w:eastAsia="Times New Roman" w:hAnsi="Arial Narrow" w:cs="Arial"/>
                <w:b/>
                <w:lang w:eastAsia="en-AU"/>
              </w:rPr>
            </w:pPr>
            <w:bookmarkStart w:id="0" w:name="TemplateOverview"/>
            <w:bookmarkEnd w:id="0"/>
            <w:r w:rsidRPr="00073304">
              <w:rPr>
                <w:rFonts w:ascii="Arial Narrow" w:eastAsia="Times New Roman" w:hAnsi="Arial Narrow" w:cs="Arial"/>
                <w:b/>
                <w:lang w:eastAsia="en-AU"/>
              </w:rPr>
              <w:t>Excelling</w:t>
            </w:r>
          </w:p>
        </w:tc>
        <w:tc>
          <w:tcPr>
            <w:tcW w:w="1698" w:type="dxa"/>
            <w:shd w:val="clear" w:color="auto" w:fill="auto"/>
            <w:vAlign w:val="center"/>
          </w:tcPr>
          <w:p w14:paraId="1BFEBCE0"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identify place value and read whole numbers and monetary amounts beyond $1000</w:t>
            </w:r>
          </w:p>
        </w:tc>
        <w:tc>
          <w:tcPr>
            <w:tcW w:w="1699" w:type="dxa"/>
            <w:shd w:val="clear" w:color="auto" w:fill="auto"/>
            <w:vAlign w:val="center"/>
          </w:tcPr>
          <w:p w14:paraId="16A0A47C"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utilise different strategies to perform calculations of addition and subtraction of whole numbers and monetary amounts.</w:t>
            </w:r>
          </w:p>
        </w:tc>
        <w:tc>
          <w:tcPr>
            <w:tcW w:w="1699" w:type="dxa"/>
            <w:tcBorders>
              <w:right w:val="single" w:sz="24" w:space="0" w:color="auto"/>
            </w:tcBorders>
            <w:shd w:val="clear" w:color="auto" w:fill="auto"/>
            <w:vAlign w:val="center"/>
          </w:tcPr>
          <w:p w14:paraId="2BD2EAFC"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recognise and understand common unit fractions (1/2, 1/4, 1/10), decimals (0.5, 0.25, 0.1) and percentages (50%, 25%, 10%) and make connections between them.</w:t>
            </w:r>
          </w:p>
        </w:tc>
        <w:tc>
          <w:tcPr>
            <w:tcW w:w="1795" w:type="dxa"/>
            <w:tcBorders>
              <w:left w:val="single" w:sz="24" w:space="0" w:color="auto"/>
            </w:tcBorders>
            <w:shd w:val="clear" w:color="auto" w:fill="auto"/>
            <w:vAlign w:val="center"/>
          </w:tcPr>
          <w:p w14:paraId="558D9964"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predict pattern continuation or determine missing numbers from repeating patterns with shapes or numbers</w:t>
            </w:r>
          </w:p>
        </w:tc>
        <w:tc>
          <w:tcPr>
            <w:tcW w:w="1795" w:type="dxa"/>
            <w:shd w:val="clear" w:color="auto" w:fill="auto"/>
            <w:vAlign w:val="center"/>
          </w:tcPr>
          <w:p w14:paraId="344274FC"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calculate the change in numerical value due to prices increasing or decreasing</w:t>
            </w:r>
          </w:p>
        </w:tc>
        <w:tc>
          <w:tcPr>
            <w:tcW w:w="1796" w:type="dxa"/>
            <w:tcBorders>
              <w:right w:val="single" w:sz="24" w:space="0" w:color="auto"/>
            </w:tcBorders>
            <w:shd w:val="clear" w:color="auto" w:fill="auto"/>
            <w:vAlign w:val="center"/>
          </w:tcPr>
          <w:p w14:paraId="748EB159"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match and compare simple numbers in context such as on shelf labels, to make judgements about value for money</w:t>
            </w:r>
          </w:p>
        </w:tc>
        <w:tc>
          <w:tcPr>
            <w:tcW w:w="1630" w:type="dxa"/>
            <w:tcBorders>
              <w:left w:val="single" w:sz="24" w:space="0" w:color="auto"/>
            </w:tcBorders>
            <w:shd w:val="clear" w:color="auto" w:fill="auto"/>
            <w:vAlign w:val="center"/>
          </w:tcPr>
          <w:p w14:paraId="2136A051"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Detailed identification and interpretation of key mathematical information in the context of the task</w:t>
            </w:r>
          </w:p>
          <w:p w14:paraId="47B0F601" w14:textId="77777777" w:rsidR="00073304" w:rsidRPr="00073304" w:rsidRDefault="00073304" w:rsidP="00073304">
            <w:pPr>
              <w:jc w:val="center"/>
              <w:rPr>
                <w:rFonts w:ascii="Arial Narrow" w:eastAsia="Times New Roman" w:hAnsi="Arial Narrow" w:cs="Times New Roman"/>
                <w:sz w:val="18"/>
                <w:szCs w:val="18"/>
                <w:lang w:eastAsia="en-AU"/>
              </w:rPr>
            </w:pPr>
          </w:p>
          <w:p w14:paraId="6ADA4F24"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Develops a short and clear plan to complete the task</w:t>
            </w:r>
          </w:p>
        </w:tc>
        <w:tc>
          <w:tcPr>
            <w:tcW w:w="1630" w:type="dxa"/>
            <w:shd w:val="clear" w:color="auto" w:fill="auto"/>
            <w:vAlign w:val="center"/>
          </w:tcPr>
          <w:p w14:paraId="541AFC8E"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Identifies and uses the most relevant mathematical actions, processes and calculations to complete the task.</w:t>
            </w:r>
          </w:p>
        </w:tc>
        <w:tc>
          <w:tcPr>
            <w:tcW w:w="1630" w:type="dxa"/>
            <w:shd w:val="clear" w:color="auto" w:fill="auto"/>
            <w:vAlign w:val="center"/>
          </w:tcPr>
          <w:p w14:paraId="2A57C3C1"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Thoroughly checks all results to see if they are as expected.</w:t>
            </w:r>
          </w:p>
          <w:p w14:paraId="03FD99BC" w14:textId="77777777" w:rsidR="00073304" w:rsidRPr="00073304" w:rsidRDefault="00073304" w:rsidP="00073304">
            <w:pPr>
              <w:jc w:val="center"/>
              <w:rPr>
                <w:rFonts w:ascii="Arial Narrow" w:eastAsia="Times New Roman" w:hAnsi="Arial Narrow" w:cs="Times New Roman"/>
                <w:sz w:val="18"/>
                <w:szCs w:val="18"/>
                <w:lang w:eastAsia="en-AU"/>
              </w:rPr>
            </w:pPr>
          </w:p>
          <w:p w14:paraId="32FF73E0"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Makes decisions about the appropriateness &amp; reasonableness of calculations and answers and adjusts where necessary.</w:t>
            </w:r>
          </w:p>
        </w:tc>
        <w:tc>
          <w:tcPr>
            <w:tcW w:w="1631" w:type="dxa"/>
            <w:tcBorders>
              <w:right w:val="single" w:sz="24" w:space="0" w:color="auto"/>
            </w:tcBorders>
            <w:shd w:val="clear" w:color="auto" w:fill="auto"/>
            <w:vAlign w:val="center"/>
          </w:tcPr>
          <w:p w14:paraId="0D0D2328"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Uses formal and informal written mathematical representation and language to present and discuss the results of the task.</w:t>
            </w:r>
          </w:p>
        </w:tc>
        <w:tc>
          <w:tcPr>
            <w:tcW w:w="4000" w:type="dxa"/>
            <w:tcBorders>
              <w:left w:val="single" w:sz="24" w:space="0" w:color="auto"/>
            </w:tcBorders>
            <w:shd w:val="clear" w:color="auto" w:fill="auto"/>
            <w:vAlign w:val="center"/>
          </w:tcPr>
          <w:p w14:paraId="4C0A73A5"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Careful consideration and selection of the different tools and technology available for money management and uses them accurately.</w:t>
            </w:r>
          </w:p>
        </w:tc>
      </w:tr>
      <w:tr w:rsidR="00073304" w:rsidRPr="00073304" w14:paraId="570EBC9E" w14:textId="77777777" w:rsidTr="00073304">
        <w:trPr>
          <w:cantSplit/>
          <w:trHeight w:val="1634"/>
        </w:trPr>
        <w:tc>
          <w:tcPr>
            <w:tcW w:w="680" w:type="dxa"/>
            <w:shd w:val="clear" w:color="auto" w:fill="auto"/>
            <w:textDirection w:val="tbRl"/>
            <w:vAlign w:val="center"/>
          </w:tcPr>
          <w:p w14:paraId="471435EB" w14:textId="77777777" w:rsidR="00073304" w:rsidRPr="00073304" w:rsidRDefault="00073304" w:rsidP="00073304">
            <w:pPr>
              <w:ind w:left="113" w:right="113"/>
              <w:jc w:val="center"/>
              <w:rPr>
                <w:rFonts w:ascii="Arial Narrow" w:eastAsia="Times New Roman" w:hAnsi="Arial Narrow" w:cs="Arial"/>
                <w:b/>
                <w:lang w:eastAsia="en-AU"/>
              </w:rPr>
            </w:pPr>
            <w:r w:rsidRPr="00073304">
              <w:rPr>
                <w:rFonts w:ascii="Arial Narrow" w:eastAsia="Times New Roman" w:hAnsi="Arial Narrow" w:cs="Arial"/>
                <w:b/>
                <w:lang w:eastAsia="en-AU"/>
              </w:rPr>
              <w:t>Achieving</w:t>
            </w:r>
          </w:p>
        </w:tc>
        <w:tc>
          <w:tcPr>
            <w:tcW w:w="1698" w:type="dxa"/>
            <w:shd w:val="clear" w:color="auto" w:fill="auto"/>
            <w:vAlign w:val="center"/>
          </w:tcPr>
          <w:p w14:paraId="6D65556E"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identify place value and read whole numbers and monetary amounts up to $1000</w:t>
            </w:r>
          </w:p>
        </w:tc>
        <w:tc>
          <w:tcPr>
            <w:tcW w:w="1699" w:type="dxa"/>
            <w:shd w:val="clear" w:color="auto" w:fill="auto"/>
            <w:vAlign w:val="center"/>
          </w:tcPr>
          <w:p w14:paraId="638B4DBA"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perform calculations of addition and subtraction of whole numbers and familiar monetary amounts into the 100s</w:t>
            </w:r>
          </w:p>
        </w:tc>
        <w:tc>
          <w:tcPr>
            <w:tcW w:w="1699" w:type="dxa"/>
            <w:tcBorders>
              <w:right w:val="single" w:sz="24" w:space="0" w:color="auto"/>
            </w:tcBorders>
            <w:shd w:val="clear" w:color="auto" w:fill="auto"/>
            <w:vAlign w:val="center"/>
          </w:tcPr>
          <w:p w14:paraId="7231C0A5"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recognise and understand common unit fractions (1/2, 1/4, 1/10), decimals (0.5, 0.25, 0.1) and percentages (50%, 25%, 10%)</w:t>
            </w:r>
          </w:p>
        </w:tc>
        <w:tc>
          <w:tcPr>
            <w:tcW w:w="1795" w:type="dxa"/>
            <w:tcBorders>
              <w:left w:val="single" w:sz="24" w:space="0" w:color="auto"/>
            </w:tcBorders>
            <w:shd w:val="clear" w:color="auto" w:fill="auto"/>
            <w:vAlign w:val="center"/>
          </w:tcPr>
          <w:p w14:paraId="79B85F3E"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continue or predict pattern continuation with shapes and numbers</w:t>
            </w:r>
          </w:p>
        </w:tc>
        <w:tc>
          <w:tcPr>
            <w:tcW w:w="1795" w:type="dxa"/>
            <w:shd w:val="clear" w:color="auto" w:fill="auto"/>
            <w:vAlign w:val="center"/>
          </w:tcPr>
          <w:p w14:paraId="312ABD8B"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recognise changes the change in numerical value due to prices increasing or decreasing</w:t>
            </w:r>
          </w:p>
        </w:tc>
        <w:tc>
          <w:tcPr>
            <w:tcW w:w="1796" w:type="dxa"/>
            <w:tcBorders>
              <w:right w:val="single" w:sz="24" w:space="0" w:color="auto"/>
            </w:tcBorders>
            <w:shd w:val="clear" w:color="auto" w:fill="auto"/>
            <w:vAlign w:val="center"/>
          </w:tcPr>
          <w:p w14:paraId="4FB64640"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match and compare simple numbers in context such as on shelf labels</w:t>
            </w:r>
          </w:p>
        </w:tc>
        <w:tc>
          <w:tcPr>
            <w:tcW w:w="1630" w:type="dxa"/>
            <w:tcBorders>
              <w:left w:val="single" w:sz="24" w:space="0" w:color="auto"/>
            </w:tcBorders>
            <w:shd w:val="clear" w:color="auto" w:fill="auto"/>
            <w:vAlign w:val="center"/>
          </w:tcPr>
          <w:p w14:paraId="1EB1ED67"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identify and interpret the relevant mathematical information in the context of the task</w:t>
            </w:r>
          </w:p>
          <w:p w14:paraId="2AED4E54" w14:textId="77777777" w:rsidR="00073304" w:rsidRPr="00073304" w:rsidRDefault="00073304" w:rsidP="00073304">
            <w:pPr>
              <w:jc w:val="center"/>
              <w:rPr>
                <w:rFonts w:ascii="Arial Narrow" w:eastAsia="Times New Roman" w:hAnsi="Arial Narrow" w:cs="Times New Roman"/>
                <w:sz w:val="18"/>
                <w:szCs w:val="18"/>
                <w:lang w:eastAsia="en-AU"/>
              </w:rPr>
            </w:pPr>
          </w:p>
          <w:p w14:paraId="6CE2B20C"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Develops a simple short plan to complete the task</w:t>
            </w:r>
          </w:p>
        </w:tc>
        <w:tc>
          <w:tcPr>
            <w:tcW w:w="1630" w:type="dxa"/>
            <w:shd w:val="clear" w:color="auto" w:fill="auto"/>
            <w:vAlign w:val="center"/>
          </w:tcPr>
          <w:p w14:paraId="4FD565C7"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Selects and uses relevant mathematical actions, processes and calculations to complete the tasks</w:t>
            </w:r>
          </w:p>
        </w:tc>
        <w:tc>
          <w:tcPr>
            <w:tcW w:w="1630" w:type="dxa"/>
            <w:shd w:val="clear" w:color="auto" w:fill="auto"/>
            <w:vAlign w:val="center"/>
          </w:tcPr>
          <w:p w14:paraId="48AE6107"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check results to see if they are as expected</w:t>
            </w:r>
          </w:p>
          <w:p w14:paraId="64CD2C4C" w14:textId="77777777" w:rsidR="00073304" w:rsidRPr="00073304" w:rsidRDefault="00073304" w:rsidP="00073304">
            <w:pPr>
              <w:jc w:val="center"/>
              <w:rPr>
                <w:rFonts w:ascii="Arial Narrow" w:eastAsia="Times New Roman" w:hAnsi="Arial Narrow" w:cs="Times New Roman"/>
                <w:sz w:val="18"/>
                <w:szCs w:val="18"/>
                <w:lang w:eastAsia="en-AU"/>
              </w:rPr>
            </w:pPr>
          </w:p>
          <w:p w14:paraId="2E2948E3"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review the appropriateness &amp; reasonableness of calculations and answers and adjust if necessary</w:t>
            </w:r>
          </w:p>
        </w:tc>
        <w:tc>
          <w:tcPr>
            <w:tcW w:w="1631" w:type="dxa"/>
            <w:tcBorders>
              <w:right w:val="single" w:sz="24" w:space="0" w:color="auto"/>
            </w:tcBorders>
            <w:shd w:val="clear" w:color="auto" w:fill="auto"/>
            <w:vAlign w:val="center"/>
          </w:tcPr>
          <w:p w14:paraId="00DDE7D0"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Uses informal and some formal mathematical representation and language to present and discuss the results of the task</w:t>
            </w:r>
          </w:p>
        </w:tc>
        <w:tc>
          <w:tcPr>
            <w:tcW w:w="4000" w:type="dxa"/>
            <w:tcBorders>
              <w:left w:val="single" w:sz="24" w:space="0" w:color="auto"/>
            </w:tcBorders>
            <w:shd w:val="clear" w:color="auto" w:fill="auto"/>
            <w:vAlign w:val="center"/>
          </w:tcPr>
          <w:p w14:paraId="5C12C4A4"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 xml:space="preserve">Appropriate selection and use of tools and technology for money management. </w:t>
            </w:r>
          </w:p>
        </w:tc>
      </w:tr>
      <w:tr w:rsidR="00073304" w:rsidRPr="00073304" w14:paraId="0D7CBA81" w14:textId="77777777" w:rsidTr="00073304">
        <w:trPr>
          <w:cantSplit/>
          <w:trHeight w:val="1185"/>
        </w:trPr>
        <w:tc>
          <w:tcPr>
            <w:tcW w:w="680" w:type="dxa"/>
            <w:shd w:val="clear" w:color="auto" w:fill="auto"/>
            <w:textDirection w:val="tbRl"/>
            <w:vAlign w:val="center"/>
          </w:tcPr>
          <w:p w14:paraId="6B66D40F" w14:textId="77777777" w:rsidR="00073304" w:rsidRPr="00073304" w:rsidRDefault="00073304" w:rsidP="00073304">
            <w:pPr>
              <w:ind w:left="113" w:right="113"/>
              <w:jc w:val="center"/>
              <w:rPr>
                <w:rFonts w:ascii="Arial Narrow" w:eastAsia="Times New Roman" w:hAnsi="Arial Narrow" w:cs="Arial"/>
                <w:b/>
                <w:lang w:eastAsia="en-AU"/>
              </w:rPr>
            </w:pPr>
            <w:r w:rsidRPr="00073304">
              <w:rPr>
                <w:rFonts w:ascii="Arial Narrow" w:eastAsia="Times New Roman" w:hAnsi="Arial Narrow" w:cs="Arial"/>
                <w:b/>
                <w:lang w:eastAsia="en-AU"/>
              </w:rPr>
              <w:t>Satisfactory</w:t>
            </w:r>
          </w:p>
        </w:tc>
        <w:tc>
          <w:tcPr>
            <w:tcW w:w="1698" w:type="dxa"/>
            <w:shd w:val="clear" w:color="auto" w:fill="auto"/>
            <w:vAlign w:val="center"/>
          </w:tcPr>
          <w:p w14:paraId="62E23B68"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identify and read whole numbers and simple monetary amounts</w:t>
            </w:r>
          </w:p>
        </w:tc>
        <w:tc>
          <w:tcPr>
            <w:tcW w:w="1699" w:type="dxa"/>
            <w:shd w:val="clear" w:color="auto" w:fill="auto"/>
            <w:vAlign w:val="center"/>
          </w:tcPr>
          <w:p w14:paraId="1C0DFDA5"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With support and scaffolding can perform calculation of whole numbers and simple monetary amounts</w:t>
            </w:r>
          </w:p>
        </w:tc>
        <w:tc>
          <w:tcPr>
            <w:tcW w:w="1699" w:type="dxa"/>
            <w:tcBorders>
              <w:right w:val="single" w:sz="24" w:space="0" w:color="auto"/>
            </w:tcBorders>
            <w:shd w:val="clear" w:color="auto" w:fill="auto"/>
            <w:vAlign w:val="center"/>
          </w:tcPr>
          <w:p w14:paraId="5FC855E4"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only identify very simple unit fractions, decimals and percentages</w:t>
            </w:r>
          </w:p>
        </w:tc>
        <w:tc>
          <w:tcPr>
            <w:tcW w:w="1795" w:type="dxa"/>
            <w:tcBorders>
              <w:left w:val="single" w:sz="24" w:space="0" w:color="auto"/>
            </w:tcBorders>
            <w:shd w:val="clear" w:color="auto" w:fill="auto"/>
            <w:vAlign w:val="center"/>
          </w:tcPr>
          <w:p w14:paraId="2393F973"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demonstrate simple repeating patterns with one shapes or numbers</w:t>
            </w:r>
          </w:p>
        </w:tc>
        <w:tc>
          <w:tcPr>
            <w:tcW w:w="1795" w:type="dxa"/>
            <w:shd w:val="clear" w:color="auto" w:fill="auto"/>
            <w:vAlign w:val="center"/>
          </w:tcPr>
          <w:p w14:paraId="7ED580A6"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With support can recognise changes in price in relation to a fixed discount</w:t>
            </w:r>
          </w:p>
        </w:tc>
        <w:tc>
          <w:tcPr>
            <w:tcW w:w="1796" w:type="dxa"/>
            <w:tcBorders>
              <w:right w:val="single" w:sz="24" w:space="0" w:color="auto"/>
            </w:tcBorders>
            <w:shd w:val="clear" w:color="auto" w:fill="auto"/>
            <w:vAlign w:val="center"/>
          </w:tcPr>
          <w:p w14:paraId="5FB55245"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match simple numbers in context such as shelf labels and the size and cost of items</w:t>
            </w:r>
          </w:p>
        </w:tc>
        <w:tc>
          <w:tcPr>
            <w:tcW w:w="1630" w:type="dxa"/>
            <w:tcBorders>
              <w:left w:val="single" w:sz="24" w:space="0" w:color="auto"/>
            </w:tcBorders>
            <w:shd w:val="clear" w:color="auto" w:fill="auto"/>
            <w:vAlign w:val="center"/>
          </w:tcPr>
          <w:p w14:paraId="4A22058C"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With prompting and advice can identify the purpose of the task and make a simple short plan to complete the task</w:t>
            </w:r>
          </w:p>
        </w:tc>
        <w:tc>
          <w:tcPr>
            <w:tcW w:w="1630" w:type="dxa"/>
            <w:shd w:val="clear" w:color="auto" w:fill="auto"/>
            <w:vAlign w:val="center"/>
          </w:tcPr>
          <w:p w14:paraId="163B9597"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Undertakes the given mathematical actions, process and calculations to complete the task</w:t>
            </w:r>
          </w:p>
        </w:tc>
        <w:tc>
          <w:tcPr>
            <w:tcW w:w="1630" w:type="dxa"/>
            <w:shd w:val="clear" w:color="auto" w:fill="auto"/>
            <w:vAlign w:val="center"/>
          </w:tcPr>
          <w:p w14:paraId="06E69182"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respond to prompting or questioning to check the appropriateness and reasonableness of calculations and answers</w:t>
            </w:r>
          </w:p>
        </w:tc>
        <w:tc>
          <w:tcPr>
            <w:tcW w:w="1631" w:type="dxa"/>
            <w:tcBorders>
              <w:right w:val="single" w:sz="24" w:space="0" w:color="auto"/>
            </w:tcBorders>
            <w:shd w:val="clear" w:color="auto" w:fill="auto"/>
            <w:vAlign w:val="center"/>
          </w:tcPr>
          <w:p w14:paraId="5668DEEC"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4000" w:type="dxa"/>
            <w:tcBorders>
              <w:left w:val="single" w:sz="24" w:space="0" w:color="auto"/>
            </w:tcBorders>
            <w:shd w:val="clear" w:color="auto" w:fill="auto"/>
            <w:vAlign w:val="center"/>
          </w:tcPr>
          <w:p w14:paraId="103CF481"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Appropriate use of tools and technology for money management, when supported and scaffolded by the teacher.</w:t>
            </w:r>
          </w:p>
        </w:tc>
      </w:tr>
      <w:tr w:rsidR="00073304" w:rsidRPr="00073304" w14:paraId="4819F8CE" w14:textId="77777777" w:rsidTr="00073304">
        <w:trPr>
          <w:cantSplit/>
          <w:trHeight w:val="703"/>
        </w:trPr>
        <w:tc>
          <w:tcPr>
            <w:tcW w:w="680" w:type="dxa"/>
            <w:vMerge w:val="restart"/>
            <w:shd w:val="clear" w:color="auto" w:fill="auto"/>
            <w:textDirection w:val="tbRl"/>
            <w:vAlign w:val="center"/>
          </w:tcPr>
          <w:p w14:paraId="050B9ED7" w14:textId="77777777" w:rsidR="00073304" w:rsidRPr="00073304" w:rsidRDefault="00073304" w:rsidP="00073304">
            <w:pPr>
              <w:ind w:left="113" w:right="113"/>
              <w:jc w:val="center"/>
              <w:rPr>
                <w:rFonts w:ascii="Arial Narrow" w:eastAsia="Times New Roman" w:hAnsi="Arial Narrow" w:cs="Arial"/>
                <w:b/>
                <w:lang w:eastAsia="en-AU"/>
              </w:rPr>
            </w:pPr>
            <w:r w:rsidRPr="00073304">
              <w:rPr>
                <w:rFonts w:ascii="Arial Narrow" w:eastAsia="Times New Roman" w:hAnsi="Arial Narrow" w:cs="Arial"/>
                <w:b/>
                <w:lang w:eastAsia="en-AU"/>
              </w:rPr>
              <w:t>Not yet satisfactory</w:t>
            </w:r>
          </w:p>
        </w:tc>
        <w:tc>
          <w:tcPr>
            <w:tcW w:w="1698" w:type="dxa"/>
            <w:shd w:val="clear" w:color="auto" w:fill="auto"/>
            <w:vAlign w:val="center"/>
          </w:tcPr>
          <w:p w14:paraId="29D94585"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only identify very simple whole numbers on financial documents</w:t>
            </w:r>
          </w:p>
        </w:tc>
        <w:tc>
          <w:tcPr>
            <w:tcW w:w="1699" w:type="dxa"/>
            <w:shd w:val="clear" w:color="auto" w:fill="auto"/>
            <w:vAlign w:val="center"/>
          </w:tcPr>
          <w:p w14:paraId="0F4CC7A0"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With support and scaffolding can perform calculations of addition and subtraction of very simple whole numbers</w:t>
            </w:r>
          </w:p>
        </w:tc>
        <w:tc>
          <w:tcPr>
            <w:tcW w:w="1699" w:type="dxa"/>
            <w:tcBorders>
              <w:right w:val="single" w:sz="24" w:space="0" w:color="auto"/>
            </w:tcBorders>
            <w:shd w:val="clear" w:color="auto" w:fill="auto"/>
            <w:vAlign w:val="center"/>
          </w:tcPr>
          <w:p w14:paraId="0F930378"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 xml:space="preserve">Can recognise where fractions, decimals or percentages are shown on financial documents </w:t>
            </w:r>
          </w:p>
        </w:tc>
        <w:tc>
          <w:tcPr>
            <w:tcW w:w="1795" w:type="dxa"/>
            <w:tcBorders>
              <w:left w:val="single" w:sz="24" w:space="0" w:color="auto"/>
            </w:tcBorders>
            <w:shd w:val="clear" w:color="auto" w:fill="auto"/>
            <w:vAlign w:val="center"/>
          </w:tcPr>
          <w:p w14:paraId="15F8CADE"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recognise when shapes or numbers are forming a pattern</w:t>
            </w:r>
          </w:p>
        </w:tc>
        <w:tc>
          <w:tcPr>
            <w:tcW w:w="1795" w:type="dxa"/>
            <w:shd w:val="clear" w:color="auto" w:fill="auto"/>
            <w:vAlign w:val="center"/>
          </w:tcPr>
          <w:p w14:paraId="048B69F0"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 xml:space="preserve">Can recognise if a price has increased or decreased </w:t>
            </w:r>
          </w:p>
        </w:tc>
        <w:tc>
          <w:tcPr>
            <w:tcW w:w="1796" w:type="dxa"/>
            <w:tcBorders>
              <w:right w:val="single" w:sz="24" w:space="0" w:color="auto"/>
            </w:tcBorders>
            <w:shd w:val="clear" w:color="auto" w:fill="auto"/>
            <w:vAlign w:val="center"/>
          </w:tcPr>
          <w:p w14:paraId="736BD402"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Can match familiar simple whole numbers</w:t>
            </w:r>
          </w:p>
        </w:tc>
        <w:tc>
          <w:tcPr>
            <w:tcW w:w="1630" w:type="dxa"/>
            <w:tcBorders>
              <w:left w:val="single" w:sz="24" w:space="0" w:color="auto"/>
            </w:tcBorders>
            <w:shd w:val="clear" w:color="auto" w:fill="auto"/>
            <w:vAlign w:val="center"/>
          </w:tcPr>
          <w:p w14:paraId="0AB136EF"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Understands the purpose of the tasks and can follow a given plan to complete the tasks</w:t>
            </w:r>
          </w:p>
        </w:tc>
        <w:tc>
          <w:tcPr>
            <w:tcW w:w="1630" w:type="dxa"/>
            <w:shd w:val="clear" w:color="auto" w:fill="auto"/>
            <w:vAlign w:val="center"/>
          </w:tcPr>
          <w:p w14:paraId="4B951902"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With support undertakes the given mathematical actions, processes and calculations to complete the task</w:t>
            </w:r>
          </w:p>
        </w:tc>
        <w:tc>
          <w:tcPr>
            <w:tcW w:w="1630" w:type="dxa"/>
            <w:shd w:val="clear" w:color="auto" w:fill="auto"/>
            <w:vAlign w:val="center"/>
          </w:tcPr>
          <w:p w14:paraId="31ED45AF"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Requires significant support to review the appropriateness and reasonableness of calculations and answers</w:t>
            </w:r>
          </w:p>
        </w:tc>
        <w:tc>
          <w:tcPr>
            <w:tcW w:w="1631" w:type="dxa"/>
            <w:tcBorders>
              <w:right w:val="single" w:sz="24" w:space="0" w:color="auto"/>
            </w:tcBorders>
            <w:shd w:val="clear" w:color="auto" w:fill="auto"/>
            <w:vAlign w:val="center"/>
          </w:tcPr>
          <w:p w14:paraId="769709E3"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Uses limited informal language to present and discuss the results of the task</w:t>
            </w:r>
          </w:p>
        </w:tc>
        <w:tc>
          <w:tcPr>
            <w:tcW w:w="4000" w:type="dxa"/>
            <w:tcBorders>
              <w:left w:val="single" w:sz="24" w:space="0" w:color="auto"/>
            </w:tcBorders>
            <w:shd w:val="clear" w:color="auto" w:fill="auto"/>
            <w:vAlign w:val="center"/>
          </w:tcPr>
          <w:p w14:paraId="1B6335F7"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Very limited or inappropriate use of tools and technology for money management.</w:t>
            </w:r>
          </w:p>
        </w:tc>
      </w:tr>
      <w:tr w:rsidR="00073304" w:rsidRPr="00073304" w14:paraId="21D5C102" w14:textId="77777777" w:rsidTr="00073304">
        <w:trPr>
          <w:cantSplit/>
          <w:trHeight w:val="20"/>
        </w:trPr>
        <w:tc>
          <w:tcPr>
            <w:tcW w:w="680" w:type="dxa"/>
            <w:vMerge/>
            <w:shd w:val="clear" w:color="auto" w:fill="auto"/>
            <w:textDirection w:val="tbRl"/>
            <w:vAlign w:val="center"/>
          </w:tcPr>
          <w:p w14:paraId="276AD9E5" w14:textId="77777777" w:rsidR="00073304" w:rsidRPr="00073304" w:rsidRDefault="00073304" w:rsidP="00073304">
            <w:pPr>
              <w:ind w:left="113" w:right="113"/>
              <w:jc w:val="center"/>
              <w:rPr>
                <w:rFonts w:ascii="Arial Narrow" w:eastAsia="Times New Roman" w:hAnsi="Arial Narrow" w:cs="Arial"/>
                <w:b/>
                <w:lang w:eastAsia="en-AU"/>
              </w:rPr>
            </w:pPr>
          </w:p>
        </w:tc>
        <w:tc>
          <w:tcPr>
            <w:tcW w:w="1698" w:type="dxa"/>
            <w:shd w:val="clear" w:color="auto" w:fill="auto"/>
            <w:vAlign w:val="center"/>
          </w:tcPr>
          <w:p w14:paraId="4935DE9D"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699" w:type="dxa"/>
            <w:shd w:val="clear" w:color="auto" w:fill="auto"/>
            <w:vAlign w:val="center"/>
          </w:tcPr>
          <w:p w14:paraId="32A9FE42"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699" w:type="dxa"/>
            <w:tcBorders>
              <w:right w:val="single" w:sz="24" w:space="0" w:color="auto"/>
            </w:tcBorders>
            <w:shd w:val="clear" w:color="auto" w:fill="auto"/>
            <w:vAlign w:val="center"/>
          </w:tcPr>
          <w:p w14:paraId="3E8BFFEB"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795" w:type="dxa"/>
            <w:tcBorders>
              <w:left w:val="single" w:sz="24" w:space="0" w:color="auto"/>
            </w:tcBorders>
            <w:shd w:val="clear" w:color="auto" w:fill="auto"/>
            <w:vAlign w:val="center"/>
          </w:tcPr>
          <w:p w14:paraId="1BE5C153"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795" w:type="dxa"/>
            <w:shd w:val="clear" w:color="auto" w:fill="auto"/>
            <w:vAlign w:val="center"/>
          </w:tcPr>
          <w:p w14:paraId="583656A8"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796" w:type="dxa"/>
            <w:tcBorders>
              <w:right w:val="single" w:sz="24" w:space="0" w:color="auto"/>
            </w:tcBorders>
            <w:shd w:val="clear" w:color="auto" w:fill="auto"/>
            <w:vAlign w:val="center"/>
          </w:tcPr>
          <w:p w14:paraId="37A74C24"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630" w:type="dxa"/>
            <w:tcBorders>
              <w:left w:val="single" w:sz="24" w:space="0" w:color="auto"/>
            </w:tcBorders>
            <w:shd w:val="clear" w:color="auto" w:fill="auto"/>
          </w:tcPr>
          <w:p w14:paraId="2820C424" w14:textId="77777777" w:rsidR="00073304" w:rsidRPr="00073304" w:rsidRDefault="00073304" w:rsidP="00073304">
            <w:pPr>
              <w:jc w:val="center"/>
              <w:rPr>
                <w:rFonts w:ascii="Arial Narrow" w:eastAsia="Times New Roman" w:hAnsi="Arial Narrow" w:cs="Times New Roman"/>
                <w:bCs/>
                <w:sz w:val="18"/>
                <w:szCs w:val="18"/>
                <w:lang w:eastAsia="en-AU"/>
              </w:rPr>
            </w:pPr>
            <w:r w:rsidRPr="00073304">
              <w:rPr>
                <w:rFonts w:ascii="Arial Narrow" w:eastAsia="Times New Roman" w:hAnsi="Arial Narrow" w:cs="Times New Roman"/>
                <w:bCs/>
                <w:sz w:val="18"/>
                <w:szCs w:val="18"/>
                <w:lang w:eastAsia="en-AU"/>
              </w:rPr>
              <w:t>Not Shown</w:t>
            </w:r>
          </w:p>
        </w:tc>
        <w:tc>
          <w:tcPr>
            <w:tcW w:w="1630" w:type="dxa"/>
            <w:shd w:val="clear" w:color="auto" w:fill="auto"/>
          </w:tcPr>
          <w:p w14:paraId="0C11625D" w14:textId="77777777" w:rsidR="00073304" w:rsidRPr="00073304" w:rsidRDefault="00073304" w:rsidP="00073304">
            <w:pPr>
              <w:jc w:val="center"/>
              <w:rPr>
                <w:rFonts w:ascii="Arial Narrow" w:eastAsia="Times New Roman" w:hAnsi="Arial Narrow" w:cs="Times New Roman"/>
                <w:bCs/>
                <w:sz w:val="18"/>
                <w:szCs w:val="18"/>
                <w:lang w:eastAsia="en-AU"/>
              </w:rPr>
            </w:pPr>
            <w:r w:rsidRPr="00073304">
              <w:rPr>
                <w:rFonts w:ascii="Arial Narrow" w:eastAsia="Times New Roman" w:hAnsi="Arial Narrow" w:cs="Times New Roman"/>
                <w:bCs/>
                <w:sz w:val="18"/>
                <w:szCs w:val="18"/>
                <w:lang w:eastAsia="en-AU"/>
              </w:rPr>
              <w:t>Not Shown</w:t>
            </w:r>
          </w:p>
        </w:tc>
        <w:tc>
          <w:tcPr>
            <w:tcW w:w="1630" w:type="dxa"/>
            <w:shd w:val="clear" w:color="auto" w:fill="auto"/>
          </w:tcPr>
          <w:p w14:paraId="11F72FA1" w14:textId="77777777" w:rsidR="00073304" w:rsidRPr="00073304" w:rsidRDefault="00073304" w:rsidP="00073304">
            <w:pPr>
              <w:jc w:val="center"/>
              <w:rPr>
                <w:rFonts w:ascii="Arial Narrow" w:eastAsia="Times New Roman" w:hAnsi="Arial Narrow" w:cs="Times New Roman"/>
                <w:sz w:val="18"/>
                <w:szCs w:val="18"/>
                <w:lang w:eastAsia="en-AU"/>
              </w:rPr>
            </w:pPr>
            <w:r w:rsidRPr="00073304">
              <w:rPr>
                <w:rFonts w:ascii="Arial Narrow" w:eastAsia="Times New Roman" w:hAnsi="Arial Narrow" w:cs="Times New Roman"/>
                <w:sz w:val="18"/>
                <w:szCs w:val="18"/>
                <w:lang w:eastAsia="en-AU"/>
              </w:rPr>
              <w:t>Not Shown</w:t>
            </w:r>
          </w:p>
        </w:tc>
        <w:tc>
          <w:tcPr>
            <w:tcW w:w="1631" w:type="dxa"/>
            <w:tcBorders>
              <w:right w:val="single" w:sz="24" w:space="0" w:color="auto"/>
            </w:tcBorders>
            <w:shd w:val="clear" w:color="auto" w:fill="auto"/>
          </w:tcPr>
          <w:p w14:paraId="52EADC8C" w14:textId="77777777" w:rsidR="00073304" w:rsidRPr="00073304" w:rsidRDefault="00073304" w:rsidP="00073304">
            <w:pPr>
              <w:jc w:val="center"/>
              <w:rPr>
                <w:rFonts w:ascii="Arial Narrow" w:eastAsia="Times New Roman" w:hAnsi="Arial Narrow" w:cs="Times New Roman"/>
                <w:bCs/>
                <w:sz w:val="18"/>
                <w:szCs w:val="18"/>
                <w:lang w:eastAsia="en-AU"/>
              </w:rPr>
            </w:pPr>
            <w:r w:rsidRPr="00073304">
              <w:rPr>
                <w:rFonts w:ascii="Arial Narrow" w:eastAsia="Times New Roman" w:hAnsi="Arial Narrow" w:cs="Times New Roman"/>
                <w:bCs/>
                <w:sz w:val="18"/>
                <w:szCs w:val="18"/>
                <w:lang w:eastAsia="en-AU"/>
              </w:rPr>
              <w:t>Not Shown</w:t>
            </w:r>
          </w:p>
        </w:tc>
        <w:tc>
          <w:tcPr>
            <w:tcW w:w="4000" w:type="dxa"/>
            <w:tcBorders>
              <w:left w:val="single" w:sz="24" w:space="0" w:color="auto"/>
            </w:tcBorders>
            <w:shd w:val="clear" w:color="auto" w:fill="auto"/>
            <w:vAlign w:val="center"/>
          </w:tcPr>
          <w:p w14:paraId="171BD562" w14:textId="77777777" w:rsidR="00073304" w:rsidRPr="00073304" w:rsidRDefault="00073304" w:rsidP="00073304">
            <w:pPr>
              <w:jc w:val="center"/>
              <w:rPr>
                <w:rFonts w:ascii="Arial Narrow" w:eastAsia="Times New Roman" w:hAnsi="Arial Narrow" w:cs="Times New Roman"/>
                <w:bCs/>
                <w:sz w:val="18"/>
                <w:szCs w:val="18"/>
                <w:lang w:eastAsia="en-AU"/>
              </w:rPr>
            </w:pPr>
            <w:r w:rsidRPr="00073304">
              <w:rPr>
                <w:rFonts w:ascii="Arial Narrow" w:eastAsia="Times New Roman" w:hAnsi="Arial Narrow" w:cs="Times New Roman"/>
                <w:bCs/>
                <w:sz w:val="18"/>
                <w:szCs w:val="18"/>
                <w:lang w:eastAsia="en-AU"/>
              </w:rPr>
              <w:t>Not Shown</w:t>
            </w:r>
          </w:p>
        </w:tc>
      </w:tr>
      <w:tr w:rsidR="00073304" w:rsidRPr="00073304" w14:paraId="1BFA2C20" w14:textId="77777777" w:rsidTr="00073304">
        <w:trPr>
          <w:trHeight w:val="20"/>
        </w:trPr>
        <w:tc>
          <w:tcPr>
            <w:tcW w:w="680" w:type="dxa"/>
            <w:vMerge w:val="restart"/>
            <w:shd w:val="clear" w:color="auto" w:fill="auto"/>
            <w:textDirection w:val="tbRl"/>
            <w:vAlign w:val="center"/>
          </w:tcPr>
          <w:p w14:paraId="205A2A3E" w14:textId="77777777" w:rsidR="00073304" w:rsidRPr="00073304" w:rsidRDefault="00073304" w:rsidP="00073304">
            <w:pPr>
              <w:ind w:left="113" w:right="113"/>
              <w:jc w:val="center"/>
              <w:rPr>
                <w:rFonts w:ascii="Arial Narrow" w:eastAsia="Times New Roman" w:hAnsi="Arial Narrow" w:cs="Times New Roman"/>
                <w:b/>
                <w:bCs/>
                <w:sz w:val="20"/>
                <w:szCs w:val="20"/>
                <w:lang w:eastAsia="en-AU"/>
              </w:rPr>
            </w:pPr>
            <w:r w:rsidRPr="00073304">
              <w:rPr>
                <w:rFonts w:ascii="Arial Narrow" w:eastAsia="Times New Roman" w:hAnsi="Arial Narrow" w:cs="Arial"/>
                <w:b/>
                <w:bCs/>
                <w:lang w:eastAsia="en-AU"/>
              </w:rPr>
              <w:t>Criteria</w:t>
            </w:r>
          </w:p>
        </w:tc>
        <w:tc>
          <w:tcPr>
            <w:tcW w:w="1698" w:type="dxa"/>
            <w:shd w:val="clear" w:color="auto" w:fill="auto"/>
            <w:vAlign w:val="center"/>
          </w:tcPr>
          <w:p w14:paraId="3E134F0F"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Place Value</w:t>
            </w:r>
          </w:p>
        </w:tc>
        <w:tc>
          <w:tcPr>
            <w:tcW w:w="1699" w:type="dxa"/>
            <w:shd w:val="clear" w:color="auto" w:fill="auto"/>
            <w:vAlign w:val="center"/>
          </w:tcPr>
          <w:p w14:paraId="05CCD7AE" w14:textId="77777777" w:rsidR="00073304" w:rsidRPr="00073304" w:rsidRDefault="00073304" w:rsidP="00073304">
            <w:pPr>
              <w:autoSpaceDE w:val="0"/>
              <w:autoSpaceDN w:val="0"/>
              <w:adjustRightInd w:val="0"/>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Operations</w:t>
            </w:r>
          </w:p>
        </w:tc>
        <w:tc>
          <w:tcPr>
            <w:tcW w:w="1699" w:type="dxa"/>
            <w:tcBorders>
              <w:right w:val="single" w:sz="24" w:space="0" w:color="auto"/>
            </w:tcBorders>
            <w:shd w:val="clear" w:color="auto" w:fill="auto"/>
            <w:vAlign w:val="center"/>
          </w:tcPr>
          <w:p w14:paraId="1E7AF0E6"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Calibri" w:hAnsi="Arial Narrow" w:cs="Times New Roman"/>
                <w:b/>
                <w:color w:val="000000"/>
                <w:sz w:val="18"/>
                <w:szCs w:val="18"/>
              </w:rPr>
              <w:t>Fractions, decimals &amp; percentages</w:t>
            </w:r>
          </w:p>
        </w:tc>
        <w:tc>
          <w:tcPr>
            <w:tcW w:w="1795" w:type="dxa"/>
            <w:tcBorders>
              <w:left w:val="single" w:sz="24" w:space="0" w:color="auto"/>
            </w:tcBorders>
            <w:shd w:val="clear" w:color="auto" w:fill="auto"/>
            <w:vAlign w:val="center"/>
          </w:tcPr>
          <w:p w14:paraId="6D78745B"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Patterns</w:t>
            </w:r>
          </w:p>
        </w:tc>
        <w:tc>
          <w:tcPr>
            <w:tcW w:w="1795" w:type="dxa"/>
            <w:shd w:val="clear" w:color="auto" w:fill="auto"/>
            <w:vAlign w:val="center"/>
          </w:tcPr>
          <w:p w14:paraId="4114A7DE"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Recognising change</w:t>
            </w:r>
          </w:p>
        </w:tc>
        <w:tc>
          <w:tcPr>
            <w:tcW w:w="1796" w:type="dxa"/>
            <w:tcBorders>
              <w:right w:val="single" w:sz="24" w:space="0" w:color="auto"/>
            </w:tcBorders>
            <w:shd w:val="clear" w:color="auto" w:fill="auto"/>
            <w:vAlign w:val="center"/>
          </w:tcPr>
          <w:p w14:paraId="5078BD33"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Number matching</w:t>
            </w:r>
          </w:p>
        </w:tc>
        <w:tc>
          <w:tcPr>
            <w:tcW w:w="1630" w:type="dxa"/>
            <w:tcBorders>
              <w:left w:val="single" w:sz="24" w:space="0" w:color="auto"/>
            </w:tcBorders>
            <w:shd w:val="clear" w:color="auto" w:fill="auto"/>
            <w:vAlign w:val="center"/>
          </w:tcPr>
          <w:p w14:paraId="42FF274B"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Identify the mathematics</w:t>
            </w:r>
          </w:p>
        </w:tc>
        <w:tc>
          <w:tcPr>
            <w:tcW w:w="1630" w:type="dxa"/>
            <w:shd w:val="clear" w:color="auto" w:fill="auto"/>
            <w:vAlign w:val="center"/>
          </w:tcPr>
          <w:p w14:paraId="519332F3"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Act on and use mathematics</w:t>
            </w:r>
          </w:p>
        </w:tc>
        <w:tc>
          <w:tcPr>
            <w:tcW w:w="1630" w:type="dxa"/>
            <w:shd w:val="clear" w:color="auto" w:fill="auto"/>
            <w:vAlign w:val="center"/>
          </w:tcPr>
          <w:p w14:paraId="171671CA"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Evaluate and Reflect</w:t>
            </w:r>
          </w:p>
        </w:tc>
        <w:tc>
          <w:tcPr>
            <w:tcW w:w="1631" w:type="dxa"/>
            <w:tcBorders>
              <w:right w:val="single" w:sz="24" w:space="0" w:color="auto"/>
            </w:tcBorders>
            <w:shd w:val="clear" w:color="auto" w:fill="auto"/>
            <w:vAlign w:val="center"/>
          </w:tcPr>
          <w:p w14:paraId="5318203C"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Communicate and report</w:t>
            </w:r>
          </w:p>
        </w:tc>
        <w:tc>
          <w:tcPr>
            <w:tcW w:w="4000" w:type="dxa"/>
            <w:tcBorders>
              <w:left w:val="single" w:sz="24" w:space="0" w:color="auto"/>
            </w:tcBorders>
            <w:shd w:val="clear" w:color="auto" w:fill="auto"/>
            <w:vAlign w:val="center"/>
          </w:tcPr>
          <w:p w14:paraId="5F996D12" w14:textId="77777777" w:rsidR="00073304" w:rsidRPr="00073304" w:rsidRDefault="00073304" w:rsidP="00073304">
            <w:pPr>
              <w:jc w:val="center"/>
              <w:rPr>
                <w:rFonts w:ascii="Arial Narrow" w:eastAsia="Times New Roman" w:hAnsi="Arial Narrow" w:cs="Times New Roman"/>
                <w:b/>
                <w:sz w:val="18"/>
                <w:szCs w:val="18"/>
                <w:lang w:eastAsia="en-AU"/>
              </w:rPr>
            </w:pPr>
            <w:r w:rsidRPr="00073304">
              <w:rPr>
                <w:rFonts w:ascii="Arial Narrow" w:eastAsia="Times New Roman" w:hAnsi="Arial Narrow" w:cs="Times New Roman"/>
                <w:b/>
                <w:sz w:val="18"/>
                <w:szCs w:val="18"/>
                <w:lang w:eastAsia="en-AU"/>
              </w:rPr>
              <w:t>Tools and technology</w:t>
            </w:r>
          </w:p>
        </w:tc>
      </w:tr>
      <w:tr w:rsidR="00073304" w:rsidRPr="00073304" w14:paraId="1BAF0D1F" w14:textId="77777777" w:rsidTr="00073304">
        <w:trPr>
          <w:trHeight w:val="566"/>
        </w:trPr>
        <w:tc>
          <w:tcPr>
            <w:tcW w:w="680" w:type="dxa"/>
            <w:vMerge/>
            <w:shd w:val="clear" w:color="auto" w:fill="auto"/>
            <w:vAlign w:val="center"/>
          </w:tcPr>
          <w:p w14:paraId="677B8045" w14:textId="77777777" w:rsidR="00073304" w:rsidRPr="00073304" w:rsidRDefault="00073304" w:rsidP="00073304">
            <w:pPr>
              <w:jc w:val="center"/>
              <w:rPr>
                <w:rFonts w:ascii="Arial Narrow" w:eastAsia="Times New Roman" w:hAnsi="Arial Narrow" w:cs="Times New Roman"/>
                <w:b/>
                <w:sz w:val="28"/>
                <w:szCs w:val="28"/>
                <w:lang w:eastAsia="en-AU"/>
              </w:rPr>
            </w:pPr>
          </w:p>
        </w:tc>
        <w:tc>
          <w:tcPr>
            <w:tcW w:w="5096" w:type="dxa"/>
            <w:gridSpan w:val="3"/>
            <w:tcBorders>
              <w:right w:val="single" w:sz="24" w:space="0" w:color="auto"/>
            </w:tcBorders>
            <w:shd w:val="clear" w:color="auto" w:fill="auto"/>
            <w:vAlign w:val="center"/>
          </w:tcPr>
          <w:p w14:paraId="07F4BD33"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Learning Requirement 1</w:t>
            </w:r>
          </w:p>
          <w:p w14:paraId="530AF0BE"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Focus Area: Number</w:t>
            </w:r>
          </w:p>
        </w:tc>
        <w:tc>
          <w:tcPr>
            <w:tcW w:w="5386" w:type="dxa"/>
            <w:gridSpan w:val="3"/>
            <w:tcBorders>
              <w:left w:val="single" w:sz="24" w:space="0" w:color="auto"/>
              <w:right w:val="single" w:sz="24" w:space="0" w:color="auto"/>
            </w:tcBorders>
            <w:shd w:val="clear" w:color="auto" w:fill="auto"/>
            <w:vAlign w:val="center"/>
          </w:tcPr>
          <w:p w14:paraId="65C29119"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Learning Requirement 1</w:t>
            </w:r>
          </w:p>
          <w:p w14:paraId="74455162"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Focus Area: Change</w:t>
            </w:r>
          </w:p>
        </w:tc>
        <w:tc>
          <w:tcPr>
            <w:tcW w:w="6521" w:type="dxa"/>
            <w:gridSpan w:val="4"/>
            <w:tcBorders>
              <w:left w:val="single" w:sz="24" w:space="0" w:color="auto"/>
              <w:right w:val="single" w:sz="24" w:space="0" w:color="auto"/>
            </w:tcBorders>
            <w:shd w:val="clear" w:color="auto" w:fill="auto"/>
          </w:tcPr>
          <w:p w14:paraId="22500C9F"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Learning Requirement 2</w:t>
            </w:r>
          </w:p>
          <w:p w14:paraId="7400F884"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Problem-Solving Cycle</w:t>
            </w:r>
          </w:p>
        </w:tc>
        <w:tc>
          <w:tcPr>
            <w:tcW w:w="4000" w:type="dxa"/>
            <w:tcBorders>
              <w:left w:val="single" w:sz="24" w:space="0" w:color="auto"/>
            </w:tcBorders>
            <w:shd w:val="clear" w:color="auto" w:fill="auto"/>
            <w:vAlign w:val="center"/>
          </w:tcPr>
          <w:p w14:paraId="644AC81A"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Learning Requirement 3</w:t>
            </w:r>
          </w:p>
          <w:p w14:paraId="23EB79DE" w14:textId="77777777" w:rsidR="00073304" w:rsidRPr="00073304" w:rsidRDefault="00073304" w:rsidP="00073304">
            <w:pPr>
              <w:jc w:val="center"/>
              <w:rPr>
                <w:rFonts w:ascii="Arial Narrow" w:eastAsia="Times New Roman" w:hAnsi="Arial Narrow" w:cs="Times New Roman"/>
                <w:b/>
                <w:sz w:val="36"/>
                <w:szCs w:val="36"/>
                <w:lang w:eastAsia="en-AU"/>
              </w:rPr>
            </w:pPr>
            <w:r w:rsidRPr="00073304">
              <w:rPr>
                <w:rFonts w:ascii="Arial Narrow" w:eastAsia="Times New Roman" w:hAnsi="Arial Narrow" w:cs="Times New Roman"/>
                <w:b/>
                <w:sz w:val="36"/>
                <w:szCs w:val="36"/>
                <w:lang w:eastAsia="en-AU"/>
              </w:rPr>
              <w:t>Mathematical toolkit</w:t>
            </w:r>
          </w:p>
        </w:tc>
      </w:tr>
      <w:tr w:rsidR="00073304" w:rsidRPr="00073304" w14:paraId="7DD47210" w14:textId="77777777" w:rsidTr="00073304">
        <w:trPr>
          <w:trHeight w:val="368"/>
        </w:trPr>
        <w:tc>
          <w:tcPr>
            <w:tcW w:w="680" w:type="dxa"/>
            <w:vMerge/>
            <w:shd w:val="clear" w:color="auto" w:fill="auto"/>
            <w:vAlign w:val="center"/>
          </w:tcPr>
          <w:p w14:paraId="25971F14" w14:textId="77777777" w:rsidR="00073304" w:rsidRPr="00073304" w:rsidRDefault="00073304" w:rsidP="00073304">
            <w:pPr>
              <w:jc w:val="center"/>
              <w:rPr>
                <w:rFonts w:ascii="Arial Narrow" w:eastAsia="Times New Roman" w:hAnsi="Arial Narrow" w:cs="Times New Roman"/>
                <w:b/>
                <w:sz w:val="28"/>
                <w:szCs w:val="28"/>
                <w:lang w:eastAsia="en-AU"/>
              </w:rPr>
            </w:pPr>
          </w:p>
        </w:tc>
        <w:tc>
          <w:tcPr>
            <w:tcW w:w="5096" w:type="dxa"/>
            <w:gridSpan w:val="3"/>
            <w:tcBorders>
              <w:right w:val="single" w:sz="24" w:space="0" w:color="auto"/>
            </w:tcBorders>
            <w:shd w:val="clear" w:color="auto" w:fill="auto"/>
            <w:vAlign w:val="center"/>
          </w:tcPr>
          <w:p w14:paraId="318FFA50" w14:textId="77777777" w:rsidR="00073304" w:rsidRPr="00073304" w:rsidRDefault="00073304" w:rsidP="00073304">
            <w:pPr>
              <w:jc w:val="center"/>
              <w:rPr>
                <w:rFonts w:ascii="Arial Narrow" w:eastAsia="Times New Roman" w:hAnsi="Arial Narrow" w:cs="Times New Roman"/>
                <w:sz w:val="20"/>
                <w:szCs w:val="20"/>
                <w:lang w:eastAsia="en-AU"/>
              </w:rPr>
            </w:pPr>
            <w:r w:rsidRPr="00073304">
              <w:rPr>
                <w:rFonts w:ascii="Arial Narrow" w:eastAsia="Times New Roman" w:hAnsi="Arial Narrow" w:cs="Times New Roman"/>
                <w:sz w:val="20"/>
                <w:szCs w:val="20"/>
                <w:lang w:eastAsia="en-AU"/>
              </w:rPr>
              <w:t>The focus of Number aims to develop students’ number sense through meaningful application of numeracy practices to a range of contexts where whole numbers and some simple fractions and decimals are used.</w:t>
            </w:r>
          </w:p>
        </w:tc>
        <w:tc>
          <w:tcPr>
            <w:tcW w:w="5386" w:type="dxa"/>
            <w:gridSpan w:val="3"/>
            <w:tcBorders>
              <w:left w:val="single" w:sz="24" w:space="0" w:color="auto"/>
              <w:right w:val="single" w:sz="24" w:space="0" w:color="auto"/>
            </w:tcBorders>
            <w:shd w:val="clear" w:color="auto" w:fill="auto"/>
            <w:vAlign w:val="center"/>
          </w:tcPr>
          <w:p w14:paraId="7B82A3CE" w14:textId="77777777" w:rsidR="00073304" w:rsidRPr="00073304" w:rsidRDefault="00073304" w:rsidP="00073304">
            <w:pPr>
              <w:jc w:val="center"/>
              <w:rPr>
                <w:rFonts w:ascii="Arial Narrow" w:eastAsia="Times New Roman" w:hAnsi="Arial Narrow" w:cs="Times New Roman"/>
                <w:i/>
                <w:sz w:val="20"/>
                <w:szCs w:val="20"/>
                <w:lang w:eastAsia="en-AU"/>
              </w:rPr>
            </w:pPr>
            <w:r w:rsidRPr="00073304">
              <w:rPr>
                <w:rFonts w:ascii="Arial Narrow" w:eastAsia="Times New Roman" w:hAnsi="Arial Narrow" w:cs="Times New Roman"/>
                <w:sz w:val="20"/>
                <w:szCs w:val="20"/>
                <w:lang w:eastAsia="en-AU"/>
              </w:rPr>
              <w:t>The focus of change includes the recognition of simple patterns and change in spatial, arithmetical and numerical contexts and applications. Students should recognise when change is occurring.</w:t>
            </w:r>
          </w:p>
        </w:tc>
        <w:tc>
          <w:tcPr>
            <w:tcW w:w="6521" w:type="dxa"/>
            <w:gridSpan w:val="4"/>
            <w:tcBorders>
              <w:left w:val="single" w:sz="24" w:space="0" w:color="auto"/>
              <w:right w:val="single" w:sz="24" w:space="0" w:color="auto"/>
            </w:tcBorders>
            <w:shd w:val="clear" w:color="auto" w:fill="auto"/>
            <w:vAlign w:val="center"/>
          </w:tcPr>
          <w:p w14:paraId="5DD30062" w14:textId="77777777" w:rsidR="00073304" w:rsidRPr="00073304" w:rsidRDefault="00073304" w:rsidP="00073304">
            <w:pPr>
              <w:jc w:val="center"/>
              <w:rPr>
                <w:rFonts w:ascii="Arial Narrow" w:eastAsia="Times New Roman" w:hAnsi="Arial Narrow" w:cs="Times New Roman"/>
                <w:sz w:val="20"/>
                <w:szCs w:val="20"/>
                <w:lang w:eastAsia="en-AU"/>
              </w:rPr>
            </w:pPr>
            <w:r w:rsidRPr="00073304">
              <w:rPr>
                <w:rFonts w:ascii="Arial Narrow" w:eastAsia="Times New Roman" w:hAnsi="Arial Narrow" w:cs="Times New Roman"/>
                <w:sz w:val="20"/>
                <w:szCs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4000" w:type="dxa"/>
            <w:tcBorders>
              <w:left w:val="single" w:sz="24" w:space="0" w:color="auto"/>
            </w:tcBorders>
            <w:shd w:val="clear" w:color="auto" w:fill="auto"/>
            <w:vAlign w:val="center"/>
          </w:tcPr>
          <w:p w14:paraId="02C294D5" w14:textId="77777777" w:rsidR="00073304" w:rsidRPr="00073304" w:rsidRDefault="00073304" w:rsidP="00073304">
            <w:pPr>
              <w:jc w:val="center"/>
              <w:rPr>
                <w:rFonts w:ascii="Arial Narrow" w:eastAsia="Times New Roman" w:hAnsi="Arial Narrow" w:cs="Times New Roman"/>
                <w:i/>
                <w:sz w:val="20"/>
                <w:szCs w:val="20"/>
                <w:lang w:eastAsia="en-AU"/>
              </w:rPr>
            </w:pPr>
            <w:r w:rsidRPr="00073304">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74D98826" w:rsidR="00A922F4" w:rsidRPr="00D86DE4" w:rsidRDefault="00073304"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1 Financial Numeracy, Module 2 Focus Areas – Number and Change Winner, Winner, Chicken Dinner</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C7CB0"/>
    <w:multiLevelType w:val="hybridMultilevel"/>
    <w:tmpl w:val="0646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9AA41B4"/>
    <w:multiLevelType w:val="hybridMultilevel"/>
    <w:tmpl w:val="7150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BA7AE1"/>
    <w:multiLevelType w:val="hybridMultilevel"/>
    <w:tmpl w:val="C6484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533F7F"/>
    <w:multiLevelType w:val="hybridMultilevel"/>
    <w:tmpl w:val="EB78E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F92D3F"/>
    <w:multiLevelType w:val="hybridMultilevel"/>
    <w:tmpl w:val="1472B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4687F19"/>
    <w:multiLevelType w:val="hybridMultilevel"/>
    <w:tmpl w:val="66BA4C44"/>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7A9A3265"/>
    <w:multiLevelType w:val="hybridMultilevel"/>
    <w:tmpl w:val="EB78E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566039"/>
    <w:multiLevelType w:val="hybridMultilevel"/>
    <w:tmpl w:val="847C178E"/>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16cid:durableId="1589189947">
    <w:abstractNumId w:val="13"/>
  </w:num>
  <w:num w:numId="2" w16cid:durableId="1289504498">
    <w:abstractNumId w:val="8"/>
  </w:num>
  <w:num w:numId="3" w16cid:durableId="28457807">
    <w:abstractNumId w:val="4"/>
  </w:num>
  <w:num w:numId="4" w16cid:durableId="572936984">
    <w:abstractNumId w:val="0"/>
  </w:num>
  <w:num w:numId="5" w16cid:durableId="1544515874">
    <w:abstractNumId w:val="12"/>
  </w:num>
  <w:num w:numId="6" w16cid:durableId="1035733301">
    <w:abstractNumId w:val="14"/>
  </w:num>
  <w:num w:numId="7" w16cid:durableId="1098067048">
    <w:abstractNumId w:val="2"/>
  </w:num>
  <w:num w:numId="8" w16cid:durableId="1096710467">
    <w:abstractNumId w:val="1"/>
  </w:num>
  <w:num w:numId="9" w16cid:durableId="1403526075">
    <w:abstractNumId w:val="7"/>
  </w:num>
  <w:num w:numId="10" w16cid:durableId="142085479">
    <w:abstractNumId w:val="6"/>
  </w:num>
  <w:num w:numId="11" w16cid:durableId="352848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095892">
    <w:abstractNumId w:val="5"/>
  </w:num>
  <w:num w:numId="13" w16cid:durableId="325213570">
    <w:abstractNumId w:val="17"/>
  </w:num>
  <w:num w:numId="14" w16cid:durableId="175776732">
    <w:abstractNumId w:val="3"/>
  </w:num>
  <w:num w:numId="15" w16cid:durableId="600183428">
    <w:abstractNumId w:val="11"/>
  </w:num>
  <w:num w:numId="16" w16cid:durableId="180626574">
    <w:abstractNumId w:val="9"/>
  </w:num>
  <w:num w:numId="17" w16cid:durableId="490365938">
    <w:abstractNumId w:val="10"/>
  </w:num>
  <w:num w:numId="18" w16cid:durableId="397243964">
    <w:abstractNumId w:val="16"/>
  </w:num>
  <w:num w:numId="19" w16cid:durableId="63268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qwUAmxYPUCwAAAA="/>
  </w:docVars>
  <w:rsids>
    <w:rsidRoot w:val="00EC4FF7"/>
    <w:rsid w:val="00003885"/>
    <w:rsid w:val="0003270F"/>
    <w:rsid w:val="0003772A"/>
    <w:rsid w:val="0005780E"/>
    <w:rsid w:val="00065CC6"/>
    <w:rsid w:val="00073304"/>
    <w:rsid w:val="00077A65"/>
    <w:rsid w:val="000A71F7"/>
    <w:rsid w:val="000E60B8"/>
    <w:rsid w:val="000F09E4"/>
    <w:rsid w:val="000F0FE6"/>
    <w:rsid w:val="000F16FD"/>
    <w:rsid w:val="001105E9"/>
    <w:rsid w:val="0015274C"/>
    <w:rsid w:val="00181ABF"/>
    <w:rsid w:val="001E7DDE"/>
    <w:rsid w:val="002279BA"/>
    <w:rsid w:val="002329F3"/>
    <w:rsid w:val="00243F0D"/>
    <w:rsid w:val="00260767"/>
    <w:rsid w:val="00262DE9"/>
    <w:rsid w:val="002647BB"/>
    <w:rsid w:val="00270E30"/>
    <w:rsid w:val="002754C1"/>
    <w:rsid w:val="002841C8"/>
    <w:rsid w:val="0028516B"/>
    <w:rsid w:val="00285C47"/>
    <w:rsid w:val="002C6F90"/>
    <w:rsid w:val="002E4FB5"/>
    <w:rsid w:val="00302FB8"/>
    <w:rsid w:val="0030358C"/>
    <w:rsid w:val="00304EA1"/>
    <w:rsid w:val="00314D81"/>
    <w:rsid w:val="00320F5E"/>
    <w:rsid w:val="00322FC6"/>
    <w:rsid w:val="0035293F"/>
    <w:rsid w:val="003755E7"/>
    <w:rsid w:val="00391986"/>
    <w:rsid w:val="003A00B4"/>
    <w:rsid w:val="003B6D30"/>
    <w:rsid w:val="003E5593"/>
    <w:rsid w:val="003E59CE"/>
    <w:rsid w:val="00414657"/>
    <w:rsid w:val="00417AA3"/>
    <w:rsid w:val="00440B32"/>
    <w:rsid w:val="00447636"/>
    <w:rsid w:val="0046078D"/>
    <w:rsid w:val="004A2ED8"/>
    <w:rsid w:val="004F30FB"/>
    <w:rsid w:val="004F5BDA"/>
    <w:rsid w:val="0051631E"/>
    <w:rsid w:val="00526802"/>
    <w:rsid w:val="00537A1F"/>
    <w:rsid w:val="00566029"/>
    <w:rsid w:val="00570B45"/>
    <w:rsid w:val="00572D14"/>
    <w:rsid w:val="005923CB"/>
    <w:rsid w:val="00593445"/>
    <w:rsid w:val="00596B77"/>
    <w:rsid w:val="005B066C"/>
    <w:rsid w:val="005B391B"/>
    <w:rsid w:val="005C5C46"/>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787C19"/>
    <w:rsid w:val="007B429C"/>
    <w:rsid w:val="008012D2"/>
    <w:rsid w:val="00813C37"/>
    <w:rsid w:val="008154B5"/>
    <w:rsid w:val="00823962"/>
    <w:rsid w:val="0084485F"/>
    <w:rsid w:val="00852719"/>
    <w:rsid w:val="00860115"/>
    <w:rsid w:val="0088783C"/>
    <w:rsid w:val="008A74EB"/>
    <w:rsid w:val="008E210E"/>
    <w:rsid w:val="0090003A"/>
    <w:rsid w:val="009370BC"/>
    <w:rsid w:val="00946FF5"/>
    <w:rsid w:val="00970580"/>
    <w:rsid w:val="00983362"/>
    <w:rsid w:val="0098739B"/>
    <w:rsid w:val="009A5E59"/>
    <w:rsid w:val="009B61E5"/>
    <w:rsid w:val="009D1E89"/>
    <w:rsid w:val="00A17661"/>
    <w:rsid w:val="00A24B2D"/>
    <w:rsid w:val="00A40966"/>
    <w:rsid w:val="00A66098"/>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13458"/>
    <w:rsid w:val="00C53263"/>
    <w:rsid w:val="00C75F1D"/>
    <w:rsid w:val="00C91FE7"/>
    <w:rsid w:val="00CB68E8"/>
    <w:rsid w:val="00D00600"/>
    <w:rsid w:val="00D04F01"/>
    <w:rsid w:val="00D06414"/>
    <w:rsid w:val="00D338E4"/>
    <w:rsid w:val="00D51947"/>
    <w:rsid w:val="00D532F0"/>
    <w:rsid w:val="00D75D2A"/>
    <w:rsid w:val="00D77413"/>
    <w:rsid w:val="00D82759"/>
    <w:rsid w:val="00D83EB1"/>
    <w:rsid w:val="00D85BBF"/>
    <w:rsid w:val="00D86DE4"/>
    <w:rsid w:val="00DE51DB"/>
    <w:rsid w:val="00DE63A4"/>
    <w:rsid w:val="00E23F1D"/>
    <w:rsid w:val="00E30E05"/>
    <w:rsid w:val="00E36361"/>
    <w:rsid w:val="00E41AD2"/>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91F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4485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572D1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85C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105E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559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2680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5934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70E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B429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000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1465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A6609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87C1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C5C4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41AD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C1345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07330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B15C63F-E3BE-4187-9F7E-4DA10CE53F31}"/>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Financial Numeracy, Module 2 Focus Areas – Number and Change Winner, Winner, Chicken Dinner</dc:title>
  <dc:creator>Derek Tolan</dc:creator>
  <cp:lastModifiedBy>Thomas Heeren</cp:lastModifiedBy>
  <cp:revision>2</cp:revision>
  <cp:lastPrinted>2015-05-15T02:36:00Z</cp:lastPrinted>
  <dcterms:created xsi:type="dcterms:W3CDTF">2022-04-20T21:33:00Z</dcterms:created>
  <dcterms:modified xsi:type="dcterms:W3CDTF">2022-04-20T21:33:00Z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