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BE" w:rsidRDefault="00B93ABE" w:rsidP="000A6790"/>
    <w:p w:rsidR="00B93ABE" w:rsidRDefault="00B93ABE" w:rsidP="00B93ABE">
      <w:pPr>
        <w:rPr>
          <w:rFonts w:ascii="Palatino Linotype" w:hAnsi="Palatino Linotype"/>
        </w:rPr>
      </w:pPr>
    </w:p>
    <w:p w:rsidR="00B93ABE" w:rsidRPr="00B93ABE" w:rsidRDefault="00B93ABE" w:rsidP="00B93ABE">
      <w:pPr>
        <w:rPr>
          <w:rFonts w:ascii="Palatino Linotype" w:hAnsi="Palatino Linotype"/>
        </w:rPr>
      </w:pPr>
    </w:p>
    <w:p w:rsidR="00B93ABE" w:rsidRPr="00B93ABE" w:rsidRDefault="005E4E63" w:rsidP="00B93ABE">
      <w:pPr>
        <w:rPr>
          <w:rFonts w:ascii="Palatino Linotype" w:hAnsi="Palatino Linotype"/>
        </w:rPr>
      </w:pPr>
      <w:r>
        <w:rPr>
          <w:rFonts w:ascii="Palatino Linotype" w:hAnsi="Palatino Linotype"/>
          <w:noProof/>
          <w:lang w:val="en-AU" w:eastAsia="en-AU"/>
        </w:rPr>
        <w:drawing>
          <wp:inline distT="0" distB="0" distL="0" distR="0">
            <wp:extent cx="3330000" cy="6336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tif"/>
                    <pic:cNvPicPr/>
                  </pic:nvPicPr>
                  <pic:blipFill>
                    <a:blip r:embed="rId9">
                      <a:extLst>
                        <a:ext uri="{28A0092B-C50C-407E-A947-70E740481C1C}">
                          <a14:useLocalDpi xmlns:a14="http://schemas.microsoft.com/office/drawing/2010/main" val="0"/>
                        </a:ext>
                      </a:extLst>
                    </a:blip>
                    <a:stretch>
                      <a:fillRect/>
                    </a:stretch>
                  </pic:blipFill>
                  <pic:spPr>
                    <a:xfrm>
                      <a:off x="0" y="0"/>
                      <a:ext cx="3330000" cy="633600"/>
                    </a:xfrm>
                    <a:prstGeom prst="rect">
                      <a:avLst/>
                    </a:prstGeom>
                  </pic:spPr>
                </pic:pic>
              </a:graphicData>
            </a:graphic>
          </wp:inline>
        </w:drawing>
      </w:r>
    </w:p>
    <w:p w:rsidR="00B93ABE" w:rsidRDefault="00B93ABE" w:rsidP="00B93ABE">
      <w:pPr>
        <w:rPr>
          <w:rFonts w:ascii="Palatino Linotype" w:hAnsi="Palatino Linotype"/>
        </w:rPr>
      </w:pPr>
    </w:p>
    <w:p w:rsidR="00936FE0" w:rsidRPr="00B93ABE" w:rsidRDefault="00936FE0" w:rsidP="00B93ABE">
      <w:pPr>
        <w:rPr>
          <w:rFonts w:ascii="Palatino Linotype" w:hAnsi="Palatino Linotype"/>
        </w:rPr>
      </w:pPr>
    </w:p>
    <w:p w:rsidR="00B93ABE" w:rsidRDefault="00B93ABE" w:rsidP="00B93ABE">
      <w:pPr>
        <w:rPr>
          <w:rFonts w:ascii="Palatino Linotype" w:hAnsi="Palatino Linotype"/>
        </w:rPr>
      </w:pPr>
    </w:p>
    <w:p w:rsidR="005E4E63" w:rsidRDefault="005E4E63" w:rsidP="00B93ABE">
      <w:pPr>
        <w:rPr>
          <w:rFonts w:ascii="Palatino Linotype" w:hAnsi="Palatino Linotype"/>
        </w:rPr>
      </w:pPr>
    </w:p>
    <w:p w:rsidR="005E4E63" w:rsidRDefault="005E4E63" w:rsidP="00B93ABE">
      <w:pPr>
        <w:rPr>
          <w:rFonts w:ascii="Palatino Linotype" w:hAnsi="Palatino Linotype"/>
        </w:rPr>
      </w:pPr>
    </w:p>
    <w:p w:rsidR="005E4E63" w:rsidRPr="00B93ABE" w:rsidRDefault="005E4E63" w:rsidP="00B93ABE">
      <w:pPr>
        <w:rPr>
          <w:rFonts w:ascii="Palatino Linotype" w:hAnsi="Palatino Linotype"/>
        </w:rPr>
      </w:pPr>
    </w:p>
    <w:p w:rsidR="00B93ABE" w:rsidRDefault="00B93ABE" w:rsidP="00B93ABE">
      <w:pPr>
        <w:rPr>
          <w:rFonts w:ascii="Arial" w:hAnsi="Arial" w:cs="Arial"/>
          <w:b/>
          <w:bCs/>
          <w:color w:val="003366"/>
          <w:sz w:val="28"/>
          <w:szCs w:val="28"/>
        </w:rPr>
      </w:pPr>
      <w:r>
        <w:rPr>
          <w:rFonts w:ascii="Arial" w:hAnsi="Arial" w:cs="Arial"/>
          <w:b/>
          <w:bCs/>
          <w:color w:val="003366"/>
          <w:sz w:val="28"/>
          <w:szCs w:val="28"/>
        </w:rPr>
        <w:t>Senior Secondary Certific</w:t>
      </w:r>
      <w:r w:rsidR="00B7293F">
        <w:rPr>
          <w:rFonts w:ascii="Arial" w:hAnsi="Arial" w:cs="Arial"/>
          <w:b/>
          <w:bCs/>
          <w:color w:val="003366"/>
          <w:sz w:val="28"/>
          <w:szCs w:val="28"/>
        </w:rPr>
        <w:t xml:space="preserve">ate Statistical Information </w:t>
      </w:r>
      <w:r w:rsidR="00C347D2">
        <w:rPr>
          <w:rFonts w:ascii="Arial" w:hAnsi="Arial" w:cs="Arial"/>
          <w:b/>
          <w:bCs/>
          <w:color w:val="003366"/>
          <w:sz w:val="28"/>
          <w:szCs w:val="28"/>
        </w:rPr>
        <w:t>2015</w:t>
      </w:r>
    </w:p>
    <w:p w:rsidR="00B93ABE" w:rsidRPr="00B93ABE" w:rsidRDefault="00B93ABE" w:rsidP="00B93ABE">
      <w:pPr>
        <w:rPr>
          <w:sz w:val="24"/>
          <w:szCs w:val="24"/>
        </w:rPr>
      </w:pPr>
    </w:p>
    <w:p w:rsidR="00B93ABE" w:rsidRPr="00B93ABE" w:rsidRDefault="00B93ABE" w:rsidP="00B93ABE">
      <w:pPr>
        <w:rPr>
          <w:sz w:val="24"/>
          <w:szCs w:val="24"/>
        </w:rPr>
      </w:pPr>
    </w:p>
    <w:p w:rsidR="00B93ABE" w:rsidRPr="00B93ABE" w:rsidRDefault="00B93ABE" w:rsidP="00B93ABE">
      <w:pPr>
        <w:rPr>
          <w:sz w:val="24"/>
          <w:szCs w:val="24"/>
        </w:rPr>
      </w:pPr>
    </w:p>
    <w:p w:rsidR="00B93ABE" w:rsidRPr="00B93ABE" w:rsidRDefault="00B93ABE" w:rsidP="00B93ABE">
      <w:pPr>
        <w:rPr>
          <w:sz w:val="24"/>
          <w:szCs w:val="24"/>
        </w:rPr>
      </w:pPr>
    </w:p>
    <w:p w:rsidR="00B93ABE" w:rsidRPr="00B93ABE" w:rsidRDefault="00B93ABE" w:rsidP="00B93ABE">
      <w:pPr>
        <w:ind w:left="1260" w:right="142" w:hanging="1260"/>
        <w:rPr>
          <w:rFonts w:ascii="Palatino Linotype" w:hAnsi="Palatino Linotype"/>
          <w:sz w:val="24"/>
          <w:szCs w:val="24"/>
        </w:rPr>
      </w:pPr>
      <w:r w:rsidRPr="00B93ABE">
        <w:rPr>
          <w:rFonts w:ascii="Palatino Linotype" w:hAnsi="Palatino Linotype"/>
          <w:sz w:val="24"/>
          <w:szCs w:val="24"/>
        </w:rPr>
        <w:t xml:space="preserve">Section </w:t>
      </w:r>
      <w:r w:rsidR="00EF35AE">
        <w:rPr>
          <w:rFonts w:ascii="Palatino Linotype" w:hAnsi="Palatino Linotype"/>
          <w:sz w:val="24"/>
          <w:szCs w:val="24"/>
        </w:rPr>
        <w:t>6</w:t>
      </w:r>
      <w:r w:rsidRPr="00B93ABE">
        <w:rPr>
          <w:rFonts w:ascii="Palatino Linotype" w:hAnsi="Palatino Linotype"/>
          <w:sz w:val="24"/>
          <w:szCs w:val="24"/>
        </w:rPr>
        <w:t xml:space="preserve">:    </w:t>
      </w:r>
      <w:r w:rsidR="00EF35AE">
        <w:rPr>
          <w:rFonts w:ascii="Palatino Linotype" w:hAnsi="Palatino Linotype"/>
          <w:sz w:val="24"/>
          <w:szCs w:val="24"/>
        </w:rPr>
        <w:t>Completion of Victorian Senior Secondary Certificates</w:t>
      </w:r>
    </w:p>
    <w:p w:rsidR="00B93ABE" w:rsidRPr="00B93ABE" w:rsidRDefault="00B93ABE" w:rsidP="00B93ABE">
      <w:pPr>
        <w:ind w:right="142"/>
        <w:rPr>
          <w:rFonts w:ascii="Palatino Linotype" w:hAnsi="Palatino Linotype"/>
          <w:sz w:val="24"/>
          <w:szCs w:val="24"/>
        </w:rPr>
      </w:pPr>
    </w:p>
    <w:p w:rsidR="00B93ABE" w:rsidRPr="00B93ABE" w:rsidRDefault="00B93ABE" w:rsidP="00B93ABE">
      <w:pPr>
        <w:ind w:right="142"/>
        <w:rPr>
          <w:rFonts w:ascii="Palatino Linotype" w:hAnsi="Palatino Linotype"/>
          <w:sz w:val="24"/>
          <w:szCs w:val="24"/>
        </w:rPr>
      </w:pPr>
    </w:p>
    <w:p w:rsidR="00B93ABE" w:rsidRPr="00B93ABE" w:rsidRDefault="00B93ABE" w:rsidP="00B93ABE">
      <w:pPr>
        <w:ind w:right="142"/>
        <w:rPr>
          <w:rFonts w:ascii="Palatino Linotype" w:hAnsi="Palatino Linotype"/>
          <w:sz w:val="24"/>
          <w:szCs w:val="24"/>
        </w:rPr>
      </w:pPr>
      <w:r w:rsidRPr="00B93ABE">
        <w:rPr>
          <w:rFonts w:ascii="Palatino Linotype" w:hAnsi="Palatino Linotype"/>
          <w:sz w:val="24"/>
          <w:szCs w:val="24"/>
        </w:rPr>
        <w:t>Data source:</w:t>
      </w:r>
      <w:r w:rsidR="000D7F41">
        <w:rPr>
          <w:rFonts w:ascii="Palatino Linotype" w:hAnsi="Palatino Linotype"/>
          <w:sz w:val="24"/>
          <w:szCs w:val="24"/>
        </w:rPr>
        <w:t xml:space="preserve"> </w:t>
      </w:r>
      <w:r w:rsidR="00C347D2">
        <w:rPr>
          <w:rFonts w:ascii="Palatino Linotype" w:hAnsi="Palatino Linotype"/>
          <w:sz w:val="24"/>
          <w:szCs w:val="24"/>
        </w:rPr>
        <w:t>2015</w:t>
      </w:r>
      <w:r w:rsidRPr="00B93ABE">
        <w:rPr>
          <w:rFonts w:ascii="Palatino Linotype" w:hAnsi="Palatino Linotype"/>
          <w:sz w:val="24"/>
          <w:szCs w:val="24"/>
        </w:rPr>
        <w:t xml:space="preserve"> </w:t>
      </w:r>
      <w:r w:rsidR="000D7F41">
        <w:rPr>
          <w:rFonts w:ascii="Palatino Linotype" w:hAnsi="Palatino Linotype"/>
          <w:sz w:val="24"/>
          <w:szCs w:val="24"/>
        </w:rPr>
        <w:t>d</w:t>
      </w:r>
      <w:r w:rsidRPr="00B93ABE">
        <w:rPr>
          <w:rFonts w:ascii="Palatino Linotype" w:hAnsi="Palatino Linotype"/>
          <w:sz w:val="24"/>
          <w:szCs w:val="24"/>
        </w:rPr>
        <w:t>ata</w:t>
      </w:r>
      <w:r w:rsidR="000D7F41">
        <w:rPr>
          <w:rFonts w:ascii="Palatino Linotype" w:hAnsi="Palatino Linotype"/>
          <w:sz w:val="24"/>
          <w:szCs w:val="24"/>
        </w:rPr>
        <w:t xml:space="preserve"> w</w:t>
      </w:r>
      <w:r w:rsidR="00665B4F">
        <w:rPr>
          <w:rFonts w:ascii="Palatino Linotype" w:hAnsi="Palatino Linotype"/>
          <w:sz w:val="24"/>
          <w:szCs w:val="24"/>
        </w:rPr>
        <w:t>ere</w:t>
      </w:r>
      <w:r w:rsidR="000D7F41">
        <w:rPr>
          <w:rFonts w:ascii="Palatino Linotype" w:hAnsi="Palatino Linotype"/>
          <w:sz w:val="24"/>
          <w:szCs w:val="24"/>
        </w:rPr>
        <w:t xml:space="preserve"> e</w:t>
      </w:r>
      <w:r w:rsidRPr="00B93ABE">
        <w:rPr>
          <w:rFonts w:ascii="Palatino Linotype" w:hAnsi="Palatino Linotype"/>
          <w:sz w:val="24"/>
          <w:szCs w:val="24"/>
        </w:rPr>
        <w:t>xtracted from the VCAA Assessment Processing System (</w:t>
      </w:r>
      <w:r w:rsidR="008F7620">
        <w:rPr>
          <w:rFonts w:ascii="Palatino Linotype" w:hAnsi="Palatino Linotype"/>
          <w:sz w:val="24"/>
          <w:szCs w:val="24"/>
        </w:rPr>
        <w:t xml:space="preserve">APS) database at </w:t>
      </w:r>
      <w:r w:rsidR="00B7293F">
        <w:rPr>
          <w:rFonts w:ascii="Palatino Linotype" w:hAnsi="Palatino Linotype"/>
          <w:sz w:val="24"/>
          <w:szCs w:val="24"/>
        </w:rPr>
        <w:t>15</w:t>
      </w:r>
      <w:r w:rsidR="008F7620">
        <w:rPr>
          <w:rFonts w:ascii="Palatino Linotype" w:hAnsi="Palatino Linotype"/>
          <w:sz w:val="24"/>
          <w:szCs w:val="24"/>
        </w:rPr>
        <w:t xml:space="preserve"> January 201</w:t>
      </w:r>
      <w:r w:rsidR="00221AC8">
        <w:rPr>
          <w:rFonts w:ascii="Palatino Linotype" w:hAnsi="Palatino Linotype"/>
          <w:sz w:val="24"/>
          <w:szCs w:val="24"/>
        </w:rPr>
        <w:t>6</w:t>
      </w:r>
      <w:r w:rsidRPr="00B93ABE">
        <w:rPr>
          <w:rFonts w:ascii="Palatino Linotype" w:hAnsi="Palatino Linotype"/>
          <w:sz w:val="24"/>
          <w:szCs w:val="24"/>
        </w:rPr>
        <w:t xml:space="preserve"> (Published).</w:t>
      </w:r>
    </w:p>
    <w:p w:rsidR="00B93ABE" w:rsidRPr="00B93ABE" w:rsidRDefault="00B93ABE" w:rsidP="00B93ABE">
      <w:pPr>
        <w:ind w:right="142"/>
        <w:rPr>
          <w:rFonts w:ascii="Palatino Linotype" w:hAnsi="Palatino Linotype"/>
          <w:sz w:val="24"/>
          <w:szCs w:val="24"/>
        </w:rPr>
      </w:pPr>
    </w:p>
    <w:p w:rsidR="00B93ABE" w:rsidRPr="00B93ABE" w:rsidRDefault="00B93ABE" w:rsidP="00B93ABE">
      <w:pPr>
        <w:ind w:right="142"/>
        <w:rPr>
          <w:rFonts w:ascii="Palatino Linotype" w:hAnsi="Palatino Linotype"/>
          <w:sz w:val="24"/>
          <w:szCs w:val="24"/>
        </w:rPr>
      </w:pPr>
    </w:p>
    <w:p w:rsidR="00B93ABE" w:rsidRPr="00B93ABE" w:rsidRDefault="00B93ABE" w:rsidP="00B93ABE">
      <w:pPr>
        <w:ind w:right="142"/>
        <w:rPr>
          <w:rFonts w:ascii="Palatino Linotype" w:hAnsi="Palatino Linotype"/>
          <w:sz w:val="24"/>
          <w:szCs w:val="24"/>
        </w:rPr>
      </w:pPr>
      <w:r w:rsidRPr="00B93ABE">
        <w:rPr>
          <w:rFonts w:ascii="Palatino Linotype" w:hAnsi="Palatino Linotype"/>
          <w:sz w:val="24"/>
          <w:szCs w:val="24"/>
        </w:rPr>
        <w:t>If you have any concerns or comments, please contact the Data Analysis, Measurement and Reporting Unit on (03) 9</w:t>
      </w:r>
      <w:r w:rsidR="00491115">
        <w:rPr>
          <w:rFonts w:ascii="Palatino Linotype" w:hAnsi="Palatino Linotype"/>
          <w:sz w:val="24"/>
          <w:szCs w:val="24"/>
        </w:rPr>
        <w:t>032</w:t>
      </w:r>
      <w:r w:rsidRPr="00B93ABE">
        <w:rPr>
          <w:rFonts w:ascii="Palatino Linotype" w:hAnsi="Palatino Linotype"/>
          <w:sz w:val="24"/>
          <w:szCs w:val="24"/>
        </w:rPr>
        <w:t>-</w:t>
      </w:r>
      <w:r w:rsidR="00491115">
        <w:rPr>
          <w:rFonts w:ascii="Palatino Linotype" w:hAnsi="Palatino Linotype"/>
          <w:sz w:val="24"/>
          <w:szCs w:val="24"/>
        </w:rPr>
        <w:t>17</w:t>
      </w:r>
      <w:r w:rsidRPr="00B93ABE">
        <w:rPr>
          <w:rFonts w:ascii="Palatino Linotype" w:hAnsi="Palatino Linotype"/>
          <w:sz w:val="24"/>
          <w:szCs w:val="24"/>
        </w:rPr>
        <w:t>84.</w:t>
      </w:r>
    </w:p>
    <w:p w:rsidR="00B93ABE" w:rsidRPr="00B93ABE" w:rsidRDefault="00B93ABE" w:rsidP="00B93ABE">
      <w:pPr>
        <w:rPr>
          <w:sz w:val="24"/>
          <w:szCs w:val="24"/>
        </w:rPr>
      </w:pPr>
    </w:p>
    <w:p w:rsidR="00B93ABE" w:rsidRDefault="00B93ABE" w:rsidP="00B93ABE"/>
    <w:p w:rsidR="00B93ABE" w:rsidRDefault="00B93ABE" w:rsidP="00B93ABE"/>
    <w:p w:rsidR="00B93ABE" w:rsidRDefault="00B93ABE" w:rsidP="00B93ABE"/>
    <w:p w:rsidR="00B93ABE" w:rsidRDefault="00B93ABE" w:rsidP="00B93ABE"/>
    <w:p w:rsidR="00B93ABE" w:rsidRDefault="00B93ABE" w:rsidP="00B93ABE"/>
    <w:p w:rsidR="00B93ABE" w:rsidRDefault="00B93ABE" w:rsidP="00B93AB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60"/>
        <w:gridCol w:w="1620"/>
      </w:tblGrid>
      <w:tr w:rsidR="00B93ABE" w:rsidTr="00B93ABE">
        <w:trPr>
          <w:trHeight w:val="1178"/>
        </w:trPr>
        <w:tc>
          <w:tcPr>
            <w:tcW w:w="6660" w:type="dxa"/>
          </w:tcPr>
          <w:p w:rsidR="00B93ABE" w:rsidRPr="00621256" w:rsidRDefault="00B93ABE" w:rsidP="00B93ABE">
            <w:pPr>
              <w:rPr>
                <w:rFonts w:ascii="Verdana" w:hAnsi="Verdana"/>
                <w:color w:val="008000"/>
                <w:sz w:val="18"/>
                <w:szCs w:val="18"/>
                <w:lang w:eastAsia="en-AU"/>
              </w:rPr>
            </w:pPr>
            <w:r w:rsidRPr="00621256">
              <w:rPr>
                <w:rFonts w:ascii="Comic Sans MS" w:hAnsi="Comic Sans MS"/>
                <w:color w:val="000080"/>
                <w:lang w:eastAsia="en-AU"/>
              </w:rPr>
              <w:t xml:space="preserve">The Victorian Curriculum and Assessment Authority </w:t>
            </w:r>
            <w:proofErr w:type="gramStart"/>
            <w:r w:rsidRPr="00621256">
              <w:rPr>
                <w:rFonts w:ascii="Comic Sans MS" w:hAnsi="Comic Sans MS"/>
                <w:color w:val="000080"/>
                <w:lang w:eastAsia="en-AU"/>
              </w:rPr>
              <w:t>provides</w:t>
            </w:r>
            <w:proofErr w:type="gramEnd"/>
            <w:r w:rsidRPr="00621256">
              <w:rPr>
                <w:rFonts w:ascii="Comic Sans MS" w:hAnsi="Comic Sans MS"/>
                <w:color w:val="000080"/>
                <w:lang w:eastAsia="en-AU"/>
              </w:rPr>
              <w:t xml:space="preserve"> high quality curriculum, assess</w:t>
            </w:r>
            <w:r w:rsidR="00BF4BBB">
              <w:rPr>
                <w:rFonts w:ascii="Comic Sans MS" w:hAnsi="Comic Sans MS"/>
                <w:color w:val="000080"/>
                <w:lang w:eastAsia="en-AU"/>
              </w:rPr>
              <w:t xml:space="preserve">ment and reporting that </w:t>
            </w:r>
            <w:r w:rsidR="00225C30">
              <w:rPr>
                <w:rFonts w:ascii="Comic Sans MS" w:hAnsi="Comic Sans MS"/>
                <w:color w:val="000080"/>
                <w:lang w:eastAsia="en-AU"/>
              </w:rPr>
              <w:t>enables</w:t>
            </w:r>
            <w:r w:rsidRPr="00621256">
              <w:rPr>
                <w:rFonts w:ascii="Comic Sans MS" w:hAnsi="Comic Sans MS"/>
                <w:color w:val="000080"/>
                <w:lang w:eastAsia="en-AU"/>
              </w:rPr>
              <w:t xml:space="preserve"> individual lifelong learning.</w:t>
            </w:r>
          </w:p>
          <w:p w:rsidR="00B93ABE" w:rsidRDefault="00B93ABE" w:rsidP="00B93ABE"/>
        </w:tc>
        <w:tc>
          <w:tcPr>
            <w:tcW w:w="1620" w:type="dxa"/>
          </w:tcPr>
          <w:p w:rsidR="00B93ABE" w:rsidRDefault="002C2029" w:rsidP="00B93ABE">
            <w:r>
              <w:rPr>
                <w:noProof/>
                <w:lang w:val="en-AU" w:eastAsia="en-AU"/>
              </w:rPr>
              <w:drawing>
                <wp:inline distT="0" distB="0" distL="0" distR="0" wp14:anchorId="2E3EEDA6" wp14:editId="3F2FBBB1">
                  <wp:extent cx="776798" cy="439616"/>
                  <wp:effectExtent l="0" t="0" r="4445"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53" cy="442703"/>
                          </a:xfrm>
                          <a:prstGeom prst="rect">
                            <a:avLst/>
                          </a:prstGeom>
                        </pic:spPr>
                      </pic:pic>
                    </a:graphicData>
                  </a:graphic>
                </wp:inline>
              </w:drawing>
            </w:r>
          </w:p>
        </w:tc>
      </w:tr>
    </w:tbl>
    <w:p w:rsidR="00B93ABE" w:rsidRDefault="00B93ABE" w:rsidP="00B93ABE"/>
    <w:p w:rsidR="00B93ABE" w:rsidRDefault="00B93ABE" w:rsidP="00B93ABE">
      <w:pPr>
        <w:rPr>
          <w:rFonts w:ascii="Palatino Linotype" w:hAnsi="Palatino Linotype" w:cs="Arial"/>
        </w:rPr>
      </w:pPr>
    </w:p>
    <w:p w:rsidR="00B93ABE" w:rsidRDefault="00B93ABE" w:rsidP="00B93ABE">
      <w:pPr>
        <w:rPr>
          <w:rFonts w:ascii="Palatino Linotype" w:hAnsi="Palatino Linotype" w:cs="Arial"/>
        </w:rPr>
      </w:pPr>
    </w:p>
    <w:p w:rsidR="00B93ABE" w:rsidRDefault="00B93ABE" w:rsidP="00B93ABE">
      <w:pPr>
        <w:rPr>
          <w:rFonts w:ascii="Palatino Linotype" w:hAnsi="Palatino Linotype" w:cs="Arial"/>
        </w:rPr>
      </w:pPr>
    </w:p>
    <w:p w:rsidR="00B93ABE" w:rsidRDefault="002C2029" w:rsidP="00B93ABE">
      <w:pPr>
        <w:rPr>
          <w:rFonts w:ascii="Palatino Linotype" w:hAnsi="Palatino Linotype" w:cs="Arial"/>
        </w:rPr>
      </w:pPr>
      <w:r>
        <w:rPr>
          <w:rFonts w:ascii="Palatino Linotype" w:hAnsi="Palatino Linotype" w:cs="Arial"/>
        </w:rPr>
        <w:t>Copyright © VCAA, 2016</w:t>
      </w:r>
    </w:p>
    <w:p w:rsidR="006F30A3" w:rsidRDefault="006F30A3" w:rsidP="00B93ABE">
      <w:pPr>
        <w:rPr>
          <w:rFonts w:ascii="Palatino Linotype" w:hAnsi="Palatino Linotype" w:cs="Arial"/>
        </w:rPr>
      </w:pPr>
    </w:p>
    <w:p w:rsidR="00B93ABE" w:rsidRDefault="00B93ABE" w:rsidP="0022397B">
      <w:pPr>
        <w:pStyle w:val="Heading1"/>
        <w:sectPr w:rsidR="00B93ABE" w:rsidSect="00B93ABE">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418" w:right="1418" w:bottom="1418" w:left="1418" w:header="709" w:footer="709" w:gutter="0"/>
          <w:cols w:space="720"/>
          <w:titlePg/>
        </w:sectPr>
      </w:pPr>
    </w:p>
    <w:p w:rsidR="0022397B" w:rsidRDefault="00FB6D5A" w:rsidP="0022397B">
      <w:pPr>
        <w:pStyle w:val="Heading1"/>
      </w:pPr>
      <w:r>
        <w:lastRenderedPageBreak/>
        <w:t xml:space="preserve">Section </w:t>
      </w:r>
      <w:r w:rsidR="00EF35AE">
        <w:t>6</w:t>
      </w:r>
    </w:p>
    <w:p w:rsidR="006943A7" w:rsidRDefault="006943A7" w:rsidP="00BC7F22">
      <w:pPr>
        <w:jc w:val="both"/>
        <w:rPr>
          <w:sz w:val="24"/>
          <w:szCs w:val="24"/>
        </w:rPr>
      </w:pPr>
    </w:p>
    <w:p w:rsidR="00BA680C" w:rsidRPr="00493645" w:rsidRDefault="00CD35EE" w:rsidP="00F8784B">
      <w:pPr>
        <w:pStyle w:val="Heading2"/>
        <w:ind w:right="284"/>
        <w:jc w:val="both"/>
        <w:rPr>
          <w:sz w:val="28"/>
          <w:szCs w:val="28"/>
        </w:rPr>
      </w:pPr>
      <w:r>
        <w:rPr>
          <w:sz w:val="28"/>
          <w:szCs w:val="28"/>
        </w:rPr>
        <w:t>Completion of Victorian Senior Secondary Certificates</w:t>
      </w:r>
    </w:p>
    <w:p w:rsidR="00493645" w:rsidRDefault="00493645" w:rsidP="00F8784B">
      <w:pPr>
        <w:ind w:right="284"/>
        <w:jc w:val="both"/>
        <w:rPr>
          <w:sz w:val="24"/>
          <w:szCs w:val="24"/>
        </w:rPr>
      </w:pPr>
    </w:p>
    <w:p w:rsidR="00931B09" w:rsidRPr="00931B09" w:rsidRDefault="00931B09" w:rsidP="00931B09">
      <w:pPr>
        <w:spacing w:after="120"/>
        <w:rPr>
          <w:sz w:val="24"/>
          <w:szCs w:val="24"/>
          <w:lang w:val="en-AU"/>
        </w:rPr>
      </w:pPr>
      <w:r w:rsidRPr="00931B09">
        <w:rPr>
          <w:sz w:val="24"/>
          <w:szCs w:val="24"/>
          <w:lang w:val="en-AU"/>
        </w:rPr>
        <w:t xml:space="preserve">This section shows the number and percentage of 19 year olds who have completed VCE and/or VCAL (at Intermediate or Senior certificate level). </w:t>
      </w:r>
    </w:p>
    <w:p w:rsidR="00931B09" w:rsidRPr="00931B09" w:rsidRDefault="00931B09" w:rsidP="00931B09">
      <w:pPr>
        <w:spacing w:after="120"/>
        <w:rPr>
          <w:sz w:val="24"/>
          <w:szCs w:val="24"/>
          <w:lang w:val="en-AU"/>
        </w:rPr>
      </w:pPr>
      <w:r>
        <w:rPr>
          <w:sz w:val="24"/>
          <w:szCs w:val="24"/>
          <w:lang w:val="en-AU"/>
        </w:rPr>
        <w:t xml:space="preserve">The Table below </w:t>
      </w:r>
      <w:r w:rsidR="00113417">
        <w:rPr>
          <w:sz w:val="24"/>
          <w:szCs w:val="24"/>
          <w:lang w:val="en-AU"/>
        </w:rPr>
        <w:t>shows over the last 10</w:t>
      </w:r>
      <w:r w:rsidRPr="00931B09">
        <w:rPr>
          <w:sz w:val="24"/>
          <w:szCs w:val="24"/>
          <w:lang w:val="en-AU"/>
        </w:rPr>
        <w:t xml:space="preserve"> years, the number of young people by age 19 who completed the VCE/VCAL (Intermediate or</w:t>
      </w:r>
      <w:r w:rsidR="00922CA8">
        <w:rPr>
          <w:sz w:val="24"/>
          <w:szCs w:val="24"/>
          <w:lang w:val="en-AU"/>
        </w:rPr>
        <w:t xml:space="preserve"> Senior level) has risen from </w:t>
      </w:r>
      <w:r w:rsidR="00221AC8">
        <w:rPr>
          <w:sz w:val="24"/>
          <w:szCs w:val="24"/>
          <w:lang w:val="en-AU"/>
        </w:rPr>
        <w:t>48,710</w:t>
      </w:r>
      <w:r w:rsidR="00113417">
        <w:rPr>
          <w:sz w:val="24"/>
          <w:szCs w:val="24"/>
          <w:lang w:val="en-AU"/>
        </w:rPr>
        <w:t xml:space="preserve"> in 200</w:t>
      </w:r>
      <w:r w:rsidR="00221AC8">
        <w:rPr>
          <w:sz w:val="24"/>
          <w:szCs w:val="24"/>
          <w:lang w:val="en-AU"/>
        </w:rPr>
        <w:t>6</w:t>
      </w:r>
      <w:r w:rsidRPr="00931B09">
        <w:rPr>
          <w:sz w:val="24"/>
          <w:szCs w:val="24"/>
          <w:lang w:val="en-AU"/>
        </w:rPr>
        <w:t xml:space="preserve"> to </w:t>
      </w:r>
      <w:r w:rsidR="00221AC8">
        <w:rPr>
          <w:sz w:val="24"/>
          <w:szCs w:val="24"/>
          <w:lang w:val="en-AU"/>
        </w:rPr>
        <w:t>55,047</w:t>
      </w:r>
      <w:r w:rsidR="00113417">
        <w:rPr>
          <w:sz w:val="24"/>
          <w:szCs w:val="24"/>
          <w:lang w:val="en-AU"/>
        </w:rPr>
        <w:t xml:space="preserve"> in </w:t>
      </w:r>
      <w:r w:rsidR="00C347D2">
        <w:rPr>
          <w:sz w:val="24"/>
          <w:szCs w:val="24"/>
          <w:lang w:val="en-AU"/>
        </w:rPr>
        <w:t>2015</w:t>
      </w:r>
      <w:r w:rsidRPr="00931B09">
        <w:rPr>
          <w:sz w:val="24"/>
          <w:szCs w:val="24"/>
          <w:lang w:val="en-AU"/>
        </w:rPr>
        <w:t>. The VCE/VCAL c</w:t>
      </w:r>
      <w:r w:rsidR="00113417">
        <w:rPr>
          <w:sz w:val="24"/>
          <w:szCs w:val="24"/>
          <w:lang w:val="en-AU"/>
        </w:rPr>
        <w:t>ompletion rate by age 19 in</w:t>
      </w:r>
      <w:r w:rsidR="00B7293F">
        <w:rPr>
          <w:sz w:val="24"/>
          <w:szCs w:val="24"/>
          <w:lang w:val="en-AU"/>
        </w:rPr>
        <w:t xml:space="preserve"> </w:t>
      </w:r>
      <w:r w:rsidR="00126B3C">
        <w:rPr>
          <w:sz w:val="24"/>
          <w:szCs w:val="24"/>
          <w:lang w:val="en-AU"/>
        </w:rPr>
        <w:t>201</w:t>
      </w:r>
      <w:r w:rsidR="00C347D2">
        <w:rPr>
          <w:sz w:val="24"/>
          <w:szCs w:val="24"/>
          <w:lang w:val="en-AU"/>
        </w:rPr>
        <w:t>5</w:t>
      </w:r>
      <w:r w:rsidR="00113417">
        <w:rPr>
          <w:sz w:val="24"/>
          <w:szCs w:val="24"/>
          <w:lang w:val="en-AU"/>
        </w:rPr>
        <w:t xml:space="preserve"> was </w:t>
      </w:r>
      <w:r w:rsidR="00221AC8">
        <w:rPr>
          <w:sz w:val="24"/>
          <w:szCs w:val="24"/>
          <w:lang w:val="en-AU"/>
        </w:rPr>
        <w:t>78.</w:t>
      </w:r>
      <w:r w:rsidR="00171B1B">
        <w:rPr>
          <w:sz w:val="24"/>
          <w:szCs w:val="24"/>
          <w:lang w:val="en-AU"/>
        </w:rPr>
        <w:t>4</w:t>
      </w:r>
      <w:r w:rsidR="00113417">
        <w:rPr>
          <w:sz w:val="24"/>
          <w:szCs w:val="24"/>
          <w:lang w:val="en-AU"/>
        </w:rPr>
        <w:t xml:space="preserve">%.  This is </w:t>
      </w:r>
      <w:r w:rsidR="00521B6C">
        <w:rPr>
          <w:sz w:val="24"/>
          <w:szCs w:val="24"/>
          <w:lang w:val="en-AU"/>
        </w:rPr>
        <w:t>5</w:t>
      </w:r>
      <w:r w:rsidRPr="00931B09">
        <w:rPr>
          <w:sz w:val="24"/>
          <w:szCs w:val="24"/>
          <w:lang w:val="en-AU"/>
        </w:rPr>
        <w:t xml:space="preserve"> percentage</w:t>
      </w:r>
      <w:r w:rsidR="00113417">
        <w:rPr>
          <w:sz w:val="24"/>
          <w:szCs w:val="24"/>
          <w:lang w:val="en-AU"/>
        </w:rPr>
        <w:t xml:space="preserve"> points higher than that in 200</w:t>
      </w:r>
      <w:r w:rsidR="00221AC8">
        <w:rPr>
          <w:sz w:val="24"/>
          <w:szCs w:val="24"/>
          <w:lang w:val="en-AU"/>
        </w:rPr>
        <w:t>6</w:t>
      </w:r>
      <w:r w:rsidRPr="00931B09">
        <w:rPr>
          <w:sz w:val="24"/>
          <w:szCs w:val="24"/>
          <w:lang w:val="en-AU"/>
        </w:rPr>
        <w:t xml:space="preserve">.  </w:t>
      </w:r>
      <w:bookmarkStart w:id="0" w:name="_GoBack"/>
      <w:bookmarkEnd w:id="0"/>
    </w:p>
    <w:p w:rsidR="00931B09" w:rsidRPr="00931B09" w:rsidRDefault="00931B09" w:rsidP="00931B09">
      <w:pPr>
        <w:spacing w:after="120"/>
        <w:rPr>
          <w:sz w:val="24"/>
          <w:szCs w:val="24"/>
          <w:lang w:val="en-AU"/>
        </w:rPr>
      </w:pPr>
      <w:r>
        <w:rPr>
          <w:sz w:val="24"/>
          <w:szCs w:val="24"/>
          <w:lang w:val="en-AU"/>
        </w:rPr>
        <w:t xml:space="preserve">This Table </w:t>
      </w:r>
      <w:r w:rsidRPr="00931B09">
        <w:rPr>
          <w:sz w:val="24"/>
          <w:szCs w:val="24"/>
          <w:lang w:val="en-AU"/>
        </w:rPr>
        <w:t xml:space="preserve">also shows that: </w:t>
      </w:r>
    </w:p>
    <w:p w:rsidR="00931B09" w:rsidRPr="00931B09" w:rsidRDefault="00931B09" w:rsidP="00931B09">
      <w:pPr>
        <w:numPr>
          <w:ilvl w:val="0"/>
          <w:numId w:val="4"/>
        </w:numPr>
        <w:spacing w:after="120"/>
        <w:rPr>
          <w:sz w:val="24"/>
          <w:szCs w:val="24"/>
          <w:lang w:val="en-AU"/>
        </w:rPr>
      </w:pPr>
      <w:r w:rsidRPr="00931B09">
        <w:rPr>
          <w:sz w:val="24"/>
          <w:szCs w:val="24"/>
          <w:lang w:val="en-AU"/>
        </w:rPr>
        <w:t>B</w:t>
      </w:r>
      <w:r w:rsidR="00B7293F">
        <w:rPr>
          <w:sz w:val="24"/>
          <w:szCs w:val="24"/>
          <w:lang w:val="en-AU"/>
        </w:rPr>
        <w:t xml:space="preserve">y age 19 in </w:t>
      </w:r>
      <w:r w:rsidR="00126B3C">
        <w:rPr>
          <w:sz w:val="24"/>
          <w:szCs w:val="24"/>
          <w:lang w:val="en-AU"/>
        </w:rPr>
        <w:t>201</w:t>
      </w:r>
      <w:r w:rsidR="00C347D2">
        <w:rPr>
          <w:sz w:val="24"/>
          <w:szCs w:val="24"/>
          <w:lang w:val="en-AU"/>
        </w:rPr>
        <w:t>5</w:t>
      </w:r>
      <w:r w:rsidRPr="00931B09">
        <w:rPr>
          <w:sz w:val="24"/>
          <w:szCs w:val="24"/>
          <w:lang w:val="en-AU"/>
        </w:rPr>
        <w:t xml:space="preserve">, there were </w:t>
      </w:r>
      <w:r w:rsidR="0093548A">
        <w:rPr>
          <w:sz w:val="24"/>
          <w:szCs w:val="24"/>
          <w:lang w:val="en-AU"/>
        </w:rPr>
        <w:t>48,</w:t>
      </w:r>
      <w:r w:rsidR="00221AC8">
        <w:rPr>
          <w:sz w:val="24"/>
          <w:szCs w:val="24"/>
          <w:lang w:val="en-AU"/>
        </w:rPr>
        <w:t>351</w:t>
      </w:r>
      <w:r w:rsidRPr="00931B09">
        <w:rPr>
          <w:sz w:val="24"/>
          <w:szCs w:val="24"/>
          <w:lang w:val="en-AU"/>
        </w:rPr>
        <w:t xml:space="preserve"> (</w:t>
      </w:r>
      <w:r w:rsidR="0093548A">
        <w:rPr>
          <w:sz w:val="24"/>
          <w:szCs w:val="24"/>
          <w:lang w:val="en-AU"/>
        </w:rPr>
        <w:t>47,</w:t>
      </w:r>
      <w:r w:rsidR="00FD3CDA">
        <w:rPr>
          <w:sz w:val="24"/>
          <w:szCs w:val="24"/>
          <w:lang w:val="en-AU"/>
        </w:rPr>
        <w:t>460</w:t>
      </w:r>
      <w:r w:rsidRPr="00931B09">
        <w:rPr>
          <w:sz w:val="24"/>
          <w:szCs w:val="24"/>
          <w:lang w:val="en-AU"/>
        </w:rPr>
        <w:t xml:space="preserve"> plus </w:t>
      </w:r>
      <w:r w:rsidR="00FD3CDA">
        <w:rPr>
          <w:sz w:val="24"/>
          <w:szCs w:val="24"/>
          <w:lang w:val="en-AU"/>
        </w:rPr>
        <w:t>891</w:t>
      </w:r>
      <w:r w:rsidRPr="00931B09">
        <w:rPr>
          <w:sz w:val="24"/>
          <w:szCs w:val="24"/>
          <w:lang w:val="en-AU"/>
        </w:rPr>
        <w:t xml:space="preserve">) young people who completed the VCE.   </w:t>
      </w:r>
    </w:p>
    <w:p w:rsidR="00931B09" w:rsidRDefault="00931B09" w:rsidP="00931B09">
      <w:pPr>
        <w:numPr>
          <w:ilvl w:val="0"/>
          <w:numId w:val="4"/>
        </w:numPr>
        <w:spacing w:after="120"/>
        <w:rPr>
          <w:sz w:val="24"/>
          <w:szCs w:val="24"/>
          <w:lang w:val="en-AU"/>
        </w:rPr>
      </w:pPr>
      <w:r w:rsidRPr="00931B09">
        <w:rPr>
          <w:sz w:val="24"/>
          <w:szCs w:val="24"/>
          <w:lang w:val="en-AU"/>
        </w:rPr>
        <w:t>An increasing number of young people are completing only the VCAL certificate at an Intermediate and/or Senior level.  I</w:t>
      </w:r>
      <w:r w:rsidR="00FD3CDA">
        <w:rPr>
          <w:sz w:val="24"/>
          <w:szCs w:val="24"/>
          <w:lang w:val="en-AU"/>
        </w:rPr>
        <w:t>n 2006</w:t>
      </w:r>
      <w:r w:rsidRPr="00931B09">
        <w:rPr>
          <w:sz w:val="24"/>
          <w:szCs w:val="24"/>
          <w:lang w:val="en-AU"/>
        </w:rPr>
        <w:t xml:space="preserve"> there were</w:t>
      </w:r>
      <w:r w:rsidR="00C121B4">
        <w:rPr>
          <w:sz w:val="24"/>
          <w:szCs w:val="24"/>
          <w:lang w:val="en-AU"/>
        </w:rPr>
        <w:t xml:space="preserve"> </w:t>
      </w:r>
      <w:r w:rsidR="00FD3CDA">
        <w:rPr>
          <w:sz w:val="24"/>
          <w:szCs w:val="24"/>
          <w:lang w:val="en-AU"/>
        </w:rPr>
        <w:t>1,654</w:t>
      </w:r>
      <w:r w:rsidRPr="00931B09">
        <w:rPr>
          <w:sz w:val="24"/>
          <w:szCs w:val="24"/>
          <w:lang w:val="en-AU"/>
        </w:rPr>
        <w:t xml:space="preserve"> young people aged 19 who completed a VCAL certificate at an Intermedi</w:t>
      </w:r>
      <w:r w:rsidR="008F003E">
        <w:rPr>
          <w:sz w:val="24"/>
          <w:szCs w:val="24"/>
          <w:lang w:val="en-AU"/>
        </w:rPr>
        <w:t xml:space="preserve">ate and/or Senior level. In </w:t>
      </w:r>
      <w:r w:rsidR="00126B3C">
        <w:rPr>
          <w:sz w:val="24"/>
          <w:szCs w:val="24"/>
          <w:lang w:val="en-AU"/>
        </w:rPr>
        <w:t>201</w:t>
      </w:r>
      <w:r w:rsidR="00C347D2">
        <w:rPr>
          <w:sz w:val="24"/>
          <w:szCs w:val="24"/>
          <w:lang w:val="en-AU"/>
        </w:rPr>
        <w:t>5</w:t>
      </w:r>
      <w:r w:rsidRPr="00931B09">
        <w:rPr>
          <w:sz w:val="24"/>
          <w:szCs w:val="24"/>
          <w:lang w:val="en-AU"/>
        </w:rPr>
        <w:t xml:space="preserve"> this has increased to </w:t>
      </w:r>
      <w:r w:rsidR="00FD3CDA">
        <w:rPr>
          <w:sz w:val="24"/>
          <w:szCs w:val="24"/>
          <w:lang w:val="en-AU"/>
        </w:rPr>
        <w:t>6,696</w:t>
      </w:r>
      <w:r w:rsidRPr="00931B09">
        <w:rPr>
          <w:sz w:val="24"/>
          <w:szCs w:val="24"/>
          <w:lang w:val="en-AU"/>
        </w:rPr>
        <w:t xml:space="preserve">. </w:t>
      </w:r>
    </w:p>
    <w:p w:rsidR="00280DCA" w:rsidRDefault="00280DCA" w:rsidP="00931B09">
      <w:pPr>
        <w:spacing w:after="120"/>
        <w:rPr>
          <w:b/>
        </w:rPr>
      </w:pPr>
    </w:p>
    <w:p w:rsidR="0059059B" w:rsidRDefault="0093548A" w:rsidP="0093548A">
      <w:pPr>
        <w:spacing w:after="120"/>
        <w:ind w:left="680" w:hanging="680"/>
        <w:rPr>
          <w:rFonts w:cs="Arial"/>
          <w:b/>
          <w:bCs/>
          <w:sz w:val="22"/>
        </w:rPr>
      </w:pPr>
      <w:r>
        <w:rPr>
          <w:b/>
        </w:rPr>
        <w:t>Table</w:t>
      </w:r>
      <w:r w:rsidR="00931B09">
        <w:rPr>
          <w:b/>
        </w:rPr>
        <w:t>:</w:t>
      </w:r>
      <w:r w:rsidR="00280DCA">
        <w:rPr>
          <w:b/>
        </w:rPr>
        <w:t xml:space="preserve"> </w:t>
      </w:r>
      <w:r>
        <w:rPr>
          <w:b/>
        </w:rPr>
        <w:tab/>
      </w:r>
      <w:r w:rsidR="00931B09" w:rsidRPr="009B2B27">
        <w:rPr>
          <w:rFonts w:cs="Arial"/>
          <w:b/>
          <w:bCs/>
          <w:sz w:val="22"/>
        </w:rPr>
        <w:t>Contribution</w:t>
      </w:r>
      <w:r w:rsidR="00931B09">
        <w:rPr>
          <w:rFonts w:cs="Arial"/>
          <w:b/>
          <w:bCs/>
          <w:sz w:val="22"/>
        </w:rPr>
        <w:t>s</w:t>
      </w:r>
      <w:r w:rsidR="00931B09" w:rsidRPr="009B2B27">
        <w:rPr>
          <w:rFonts w:cs="Arial"/>
          <w:b/>
          <w:bCs/>
          <w:sz w:val="22"/>
        </w:rPr>
        <w:t xml:space="preserve"> of VCE/</w:t>
      </w:r>
      <w:proofErr w:type="gramStart"/>
      <w:r w:rsidR="00931B09" w:rsidRPr="009B2B27">
        <w:rPr>
          <w:rFonts w:cs="Arial"/>
          <w:b/>
          <w:bCs/>
          <w:sz w:val="22"/>
        </w:rPr>
        <w:t>VCAL</w:t>
      </w:r>
      <w:r w:rsidR="00931B09" w:rsidRPr="009B2B27">
        <w:rPr>
          <w:rFonts w:cs="Arial"/>
          <w:b/>
          <w:bCs/>
          <w:sz w:val="22"/>
          <w:vertAlign w:val="superscript"/>
        </w:rPr>
        <w:t>(</w:t>
      </w:r>
      <w:proofErr w:type="gramEnd"/>
      <w:r w:rsidR="00931B09" w:rsidRPr="009B2B27">
        <w:rPr>
          <w:rFonts w:cs="Arial"/>
          <w:b/>
          <w:bCs/>
          <w:sz w:val="22"/>
          <w:vertAlign w:val="superscript"/>
        </w:rPr>
        <w:t>a)</w:t>
      </w:r>
      <w:r w:rsidR="00931B09" w:rsidRPr="009B2B27">
        <w:rPr>
          <w:rFonts w:cs="Arial"/>
          <w:b/>
          <w:bCs/>
          <w:sz w:val="22"/>
        </w:rPr>
        <w:t xml:space="preserve"> towards the completion</w:t>
      </w:r>
      <w:r w:rsidR="00931B09">
        <w:rPr>
          <w:b/>
          <w:bCs/>
          <w:sz w:val="22"/>
          <w:szCs w:val="22"/>
          <w:lang w:val="en-AU" w:eastAsia="en-AU"/>
        </w:rPr>
        <w:t xml:space="preserve"> </w:t>
      </w:r>
      <w:r w:rsidR="00931B09" w:rsidRPr="009B2B27">
        <w:rPr>
          <w:rFonts w:cs="Arial"/>
          <w:b/>
          <w:bCs/>
          <w:sz w:val="22"/>
        </w:rPr>
        <w:t xml:space="preserve">of </w:t>
      </w:r>
      <w:r w:rsidR="00931B09">
        <w:rPr>
          <w:rFonts w:cs="Arial"/>
          <w:b/>
          <w:bCs/>
          <w:sz w:val="22"/>
        </w:rPr>
        <w:t xml:space="preserve">a </w:t>
      </w:r>
      <w:r w:rsidR="00931B09" w:rsidRPr="009B2B27">
        <w:rPr>
          <w:rFonts w:cs="Arial"/>
          <w:b/>
          <w:bCs/>
          <w:sz w:val="22"/>
        </w:rPr>
        <w:t xml:space="preserve">Senior Secondary Certificate </w:t>
      </w:r>
      <w:r w:rsidR="0059059B">
        <w:rPr>
          <w:rFonts w:cs="Arial"/>
          <w:b/>
          <w:bCs/>
          <w:sz w:val="22"/>
        </w:rPr>
        <w:br/>
      </w:r>
      <w:r w:rsidR="00931B09" w:rsidRPr="009B2B27">
        <w:rPr>
          <w:rFonts w:cs="Arial"/>
          <w:b/>
          <w:bCs/>
          <w:sz w:val="22"/>
        </w:rPr>
        <w:t>by 19 year olds</w:t>
      </w:r>
    </w:p>
    <w:tbl>
      <w:tblPr>
        <w:tblW w:w="9960" w:type="dxa"/>
        <w:tblInd w:w="93" w:type="dxa"/>
        <w:tblLook w:val="04A0" w:firstRow="1" w:lastRow="0" w:firstColumn="1" w:lastColumn="0" w:noHBand="0" w:noVBand="1"/>
      </w:tblPr>
      <w:tblGrid>
        <w:gridCol w:w="960"/>
        <w:gridCol w:w="960"/>
        <w:gridCol w:w="960"/>
        <w:gridCol w:w="980"/>
        <w:gridCol w:w="960"/>
        <w:gridCol w:w="1280"/>
        <w:gridCol w:w="960"/>
        <w:gridCol w:w="960"/>
        <w:gridCol w:w="960"/>
        <w:gridCol w:w="980"/>
      </w:tblGrid>
      <w:tr w:rsidR="00171B1B" w:rsidRPr="00171B1B" w:rsidTr="00171B1B">
        <w:trPr>
          <w:trHeight w:val="630"/>
        </w:trPr>
        <w:tc>
          <w:tcPr>
            <w:tcW w:w="960" w:type="dxa"/>
            <w:tcBorders>
              <w:top w:val="nil"/>
              <w:left w:val="nil"/>
              <w:bottom w:val="nil"/>
              <w:right w:val="nil"/>
            </w:tcBorders>
            <w:shd w:val="clear" w:color="000000" w:fill="FFFFFF"/>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 </w:t>
            </w:r>
          </w:p>
        </w:tc>
        <w:tc>
          <w:tcPr>
            <w:tcW w:w="3860" w:type="dxa"/>
            <w:gridSpan w:val="4"/>
            <w:tcBorders>
              <w:top w:val="single" w:sz="4" w:space="0" w:color="auto"/>
              <w:left w:val="single" w:sz="4" w:space="0" w:color="auto"/>
              <w:bottom w:val="nil"/>
              <w:right w:val="nil"/>
            </w:tcBorders>
            <w:shd w:val="clear" w:color="000000" w:fill="FFFFFF"/>
            <w:vAlign w:val="center"/>
            <w:hideMark/>
          </w:tcPr>
          <w:p w:rsidR="00171B1B" w:rsidRPr="00171B1B" w:rsidRDefault="00171B1B" w:rsidP="00171B1B">
            <w:pPr>
              <w:jc w:val="center"/>
              <w:rPr>
                <w:b/>
                <w:bCs/>
                <w:sz w:val="22"/>
                <w:szCs w:val="22"/>
                <w:lang w:val="en-AU" w:eastAsia="en-AU"/>
              </w:rPr>
            </w:pPr>
            <w:r w:rsidRPr="00171B1B">
              <w:rPr>
                <w:b/>
                <w:bCs/>
                <w:sz w:val="22"/>
                <w:szCs w:val="22"/>
                <w:lang w:val="en-AU" w:eastAsia="en-AU"/>
              </w:rPr>
              <w:t>Number of young people completed VCE/VCAL by age 19</w:t>
            </w:r>
          </w:p>
        </w:tc>
        <w:tc>
          <w:tcPr>
            <w:tcW w:w="12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1B1B" w:rsidRPr="00171B1B" w:rsidRDefault="00171B1B" w:rsidP="00171B1B">
            <w:pPr>
              <w:jc w:val="center"/>
              <w:rPr>
                <w:b/>
                <w:bCs/>
                <w:sz w:val="22"/>
                <w:szCs w:val="22"/>
                <w:lang w:val="en-AU" w:eastAsia="en-AU"/>
              </w:rPr>
            </w:pPr>
            <w:r w:rsidRPr="00171B1B">
              <w:rPr>
                <w:b/>
                <w:bCs/>
                <w:sz w:val="22"/>
                <w:szCs w:val="22"/>
                <w:lang w:val="en-AU" w:eastAsia="en-AU"/>
              </w:rPr>
              <w:t xml:space="preserve">19 </w:t>
            </w:r>
            <w:proofErr w:type="spellStart"/>
            <w:r w:rsidRPr="00171B1B">
              <w:rPr>
                <w:b/>
                <w:bCs/>
                <w:sz w:val="22"/>
                <w:szCs w:val="22"/>
                <w:lang w:val="en-AU" w:eastAsia="en-AU"/>
              </w:rPr>
              <w:t>yo</w:t>
            </w:r>
            <w:proofErr w:type="spellEnd"/>
            <w:r w:rsidRPr="00171B1B">
              <w:rPr>
                <w:b/>
                <w:bCs/>
                <w:sz w:val="22"/>
                <w:szCs w:val="22"/>
                <w:lang w:val="en-AU" w:eastAsia="en-AU"/>
              </w:rPr>
              <w:t xml:space="preserve"> population cohort </w:t>
            </w:r>
            <w:r w:rsidRPr="00171B1B">
              <w:rPr>
                <w:b/>
                <w:bCs/>
                <w:sz w:val="22"/>
                <w:szCs w:val="22"/>
                <w:vertAlign w:val="superscript"/>
                <w:lang w:val="en-AU" w:eastAsia="en-AU"/>
              </w:rPr>
              <w:t>(b)</w:t>
            </w:r>
          </w:p>
        </w:tc>
        <w:tc>
          <w:tcPr>
            <w:tcW w:w="3860" w:type="dxa"/>
            <w:gridSpan w:val="4"/>
            <w:tcBorders>
              <w:top w:val="single" w:sz="4" w:space="0" w:color="auto"/>
              <w:left w:val="nil"/>
              <w:bottom w:val="single" w:sz="4" w:space="0" w:color="auto"/>
              <w:right w:val="single" w:sz="4" w:space="0" w:color="000000"/>
            </w:tcBorders>
            <w:shd w:val="clear" w:color="000000" w:fill="FFFFFF"/>
            <w:vAlign w:val="center"/>
            <w:hideMark/>
          </w:tcPr>
          <w:p w:rsidR="00171B1B" w:rsidRPr="00171B1B" w:rsidRDefault="00171B1B" w:rsidP="00171B1B">
            <w:pPr>
              <w:jc w:val="center"/>
              <w:rPr>
                <w:b/>
                <w:bCs/>
                <w:sz w:val="22"/>
                <w:szCs w:val="22"/>
                <w:lang w:val="en-AU" w:eastAsia="en-AU"/>
              </w:rPr>
            </w:pPr>
            <w:r w:rsidRPr="00171B1B">
              <w:rPr>
                <w:b/>
                <w:bCs/>
                <w:sz w:val="22"/>
                <w:szCs w:val="22"/>
                <w:lang w:val="en-AU" w:eastAsia="en-AU"/>
              </w:rPr>
              <w:t>Completion rate (%)</w:t>
            </w:r>
          </w:p>
        </w:tc>
      </w:tr>
      <w:tr w:rsidR="00171B1B" w:rsidRPr="00171B1B" w:rsidTr="00171B1B">
        <w:trPr>
          <w:trHeight w:val="85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1B1B" w:rsidRPr="00171B1B" w:rsidRDefault="00171B1B" w:rsidP="00171B1B">
            <w:pPr>
              <w:jc w:val="center"/>
              <w:rPr>
                <w:b/>
                <w:bCs/>
                <w:sz w:val="22"/>
                <w:szCs w:val="22"/>
                <w:lang w:val="en-AU" w:eastAsia="en-AU"/>
              </w:rPr>
            </w:pPr>
            <w:r w:rsidRPr="00171B1B">
              <w:rPr>
                <w:b/>
                <w:bCs/>
                <w:sz w:val="22"/>
                <w:szCs w:val="22"/>
                <w:lang w:val="en-AU" w:eastAsia="en-AU"/>
              </w:rPr>
              <w:t xml:space="preserve">19 </w:t>
            </w:r>
            <w:proofErr w:type="spellStart"/>
            <w:r w:rsidRPr="00171B1B">
              <w:rPr>
                <w:b/>
                <w:bCs/>
                <w:sz w:val="22"/>
                <w:szCs w:val="22"/>
                <w:lang w:val="en-AU" w:eastAsia="en-AU"/>
              </w:rPr>
              <w:t>yo</w:t>
            </w:r>
            <w:proofErr w:type="spellEnd"/>
            <w:r w:rsidRPr="00171B1B">
              <w:rPr>
                <w:b/>
                <w:bCs/>
                <w:sz w:val="22"/>
                <w:szCs w:val="22"/>
                <w:lang w:val="en-AU" w:eastAsia="en-AU"/>
              </w:rPr>
              <w:t xml:space="preserve"> in:</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1B1B" w:rsidRPr="00171B1B" w:rsidRDefault="00171B1B" w:rsidP="00171B1B">
            <w:pPr>
              <w:jc w:val="center"/>
              <w:rPr>
                <w:b/>
                <w:bCs/>
                <w:sz w:val="22"/>
                <w:szCs w:val="22"/>
                <w:lang w:val="en-AU" w:eastAsia="en-AU"/>
              </w:rPr>
            </w:pPr>
            <w:r w:rsidRPr="00171B1B">
              <w:rPr>
                <w:b/>
                <w:bCs/>
                <w:sz w:val="22"/>
                <w:szCs w:val="22"/>
                <w:lang w:val="en-AU" w:eastAsia="en-AU"/>
              </w:rPr>
              <w:t>VCE only</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71B1B" w:rsidRPr="00171B1B" w:rsidRDefault="00171B1B" w:rsidP="00171B1B">
            <w:pPr>
              <w:jc w:val="center"/>
              <w:rPr>
                <w:b/>
                <w:bCs/>
                <w:sz w:val="22"/>
                <w:szCs w:val="22"/>
                <w:lang w:val="en-AU" w:eastAsia="en-AU"/>
              </w:rPr>
            </w:pPr>
            <w:r w:rsidRPr="00171B1B">
              <w:rPr>
                <w:b/>
                <w:bCs/>
                <w:sz w:val="22"/>
                <w:szCs w:val="22"/>
                <w:lang w:val="en-AU" w:eastAsia="en-AU"/>
              </w:rPr>
              <w:t>VCE and VCAL</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171B1B" w:rsidRPr="00171B1B" w:rsidRDefault="00171B1B" w:rsidP="00171B1B">
            <w:pPr>
              <w:jc w:val="center"/>
              <w:rPr>
                <w:b/>
                <w:bCs/>
                <w:sz w:val="22"/>
                <w:szCs w:val="22"/>
                <w:lang w:val="en-AU" w:eastAsia="en-AU"/>
              </w:rPr>
            </w:pPr>
            <w:r w:rsidRPr="00171B1B">
              <w:rPr>
                <w:b/>
                <w:bCs/>
                <w:sz w:val="22"/>
                <w:szCs w:val="22"/>
                <w:lang w:val="en-AU" w:eastAsia="en-AU"/>
              </w:rPr>
              <w:t>VCAL only</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71B1B" w:rsidRPr="00171B1B" w:rsidRDefault="00171B1B" w:rsidP="00171B1B">
            <w:pPr>
              <w:jc w:val="center"/>
              <w:rPr>
                <w:b/>
                <w:bCs/>
                <w:sz w:val="22"/>
                <w:szCs w:val="22"/>
                <w:lang w:val="en-AU" w:eastAsia="en-AU"/>
              </w:rPr>
            </w:pPr>
            <w:r w:rsidRPr="00171B1B">
              <w:rPr>
                <w:b/>
                <w:bCs/>
                <w:sz w:val="22"/>
                <w:szCs w:val="22"/>
                <w:lang w:val="en-AU" w:eastAsia="en-AU"/>
              </w:rPr>
              <w:t>Total</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171B1B" w:rsidRPr="00171B1B" w:rsidRDefault="00171B1B" w:rsidP="00171B1B">
            <w:pPr>
              <w:rPr>
                <w:b/>
                <w:bCs/>
                <w:sz w:val="22"/>
                <w:szCs w:val="22"/>
                <w:lang w:val="en-AU" w:eastAsia="en-AU"/>
              </w:rPr>
            </w:pPr>
          </w:p>
        </w:tc>
        <w:tc>
          <w:tcPr>
            <w:tcW w:w="960" w:type="dxa"/>
            <w:tcBorders>
              <w:top w:val="nil"/>
              <w:left w:val="nil"/>
              <w:bottom w:val="single" w:sz="4" w:space="0" w:color="auto"/>
              <w:right w:val="single" w:sz="4" w:space="0" w:color="auto"/>
            </w:tcBorders>
            <w:shd w:val="clear" w:color="000000" w:fill="FFFFFF"/>
            <w:vAlign w:val="center"/>
            <w:hideMark/>
          </w:tcPr>
          <w:p w:rsidR="00171B1B" w:rsidRPr="00171B1B" w:rsidRDefault="00171B1B" w:rsidP="00171B1B">
            <w:pPr>
              <w:jc w:val="center"/>
              <w:rPr>
                <w:b/>
                <w:bCs/>
                <w:sz w:val="22"/>
                <w:szCs w:val="22"/>
                <w:lang w:val="en-AU" w:eastAsia="en-AU"/>
              </w:rPr>
            </w:pPr>
            <w:r w:rsidRPr="00171B1B">
              <w:rPr>
                <w:b/>
                <w:bCs/>
                <w:sz w:val="22"/>
                <w:szCs w:val="22"/>
                <w:lang w:val="en-AU" w:eastAsia="en-AU"/>
              </w:rPr>
              <w:t>VCE only</w:t>
            </w:r>
          </w:p>
        </w:tc>
        <w:tc>
          <w:tcPr>
            <w:tcW w:w="960" w:type="dxa"/>
            <w:tcBorders>
              <w:top w:val="nil"/>
              <w:left w:val="nil"/>
              <w:bottom w:val="single" w:sz="4" w:space="0" w:color="auto"/>
              <w:right w:val="single" w:sz="4" w:space="0" w:color="auto"/>
            </w:tcBorders>
            <w:shd w:val="clear" w:color="000000" w:fill="FFFFFF"/>
            <w:vAlign w:val="center"/>
            <w:hideMark/>
          </w:tcPr>
          <w:p w:rsidR="00171B1B" w:rsidRPr="00171B1B" w:rsidRDefault="00171B1B" w:rsidP="00171B1B">
            <w:pPr>
              <w:jc w:val="center"/>
              <w:rPr>
                <w:b/>
                <w:bCs/>
                <w:sz w:val="22"/>
                <w:szCs w:val="22"/>
                <w:lang w:val="en-AU" w:eastAsia="en-AU"/>
              </w:rPr>
            </w:pPr>
            <w:r w:rsidRPr="00171B1B">
              <w:rPr>
                <w:b/>
                <w:bCs/>
                <w:sz w:val="22"/>
                <w:szCs w:val="22"/>
                <w:lang w:val="en-AU" w:eastAsia="en-AU"/>
              </w:rPr>
              <w:t>VCE and VCAL</w:t>
            </w:r>
          </w:p>
        </w:tc>
        <w:tc>
          <w:tcPr>
            <w:tcW w:w="960" w:type="dxa"/>
            <w:tcBorders>
              <w:top w:val="nil"/>
              <w:left w:val="nil"/>
              <w:bottom w:val="single" w:sz="4" w:space="0" w:color="auto"/>
              <w:right w:val="single" w:sz="4" w:space="0" w:color="auto"/>
            </w:tcBorders>
            <w:shd w:val="clear" w:color="000000" w:fill="FFFFFF"/>
            <w:vAlign w:val="center"/>
            <w:hideMark/>
          </w:tcPr>
          <w:p w:rsidR="00171B1B" w:rsidRPr="00171B1B" w:rsidRDefault="00171B1B" w:rsidP="00171B1B">
            <w:pPr>
              <w:jc w:val="center"/>
              <w:rPr>
                <w:b/>
                <w:bCs/>
                <w:sz w:val="22"/>
                <w:szCs w:val="22"/>
                <w:lang w:val="en-AU" w:eastAsia="en-AU"/>
              </w:rPr>
            </w:pPr>
            <w:r w:rsidRPr="00171B1B">
              <w:rPr>
                <w:b/>
                <w:bCs/>
                <w:sz w:val="22"/>
                <w:szCs w:val="22"/>
                <w:lang w:val="en-AU" w:eastAsia="en-AU"/>
              </w:rPr>
              <w:t>VCAL only</w:t>
            </w:r>
          </w:p>
        </w:tc>
        <w:tc>
          <w:tcPr>
            <w:tcW w:w="980" w:type="dxa"/>
            <w:tcBorders>
              <w:top w:val="nil"/>
              <w:left w:val="nil"/>
              <w:bottom w:val="single" w:sz="4" w:space="0" w:color="auto"/>
              <w:right w:val="single" w:sz="4" w:space="0" w:color="auto"/>
            </w:tcBorders>
            <w:shd w:val="clear" w:color="000000" w:fill="FFFFFF"/>
            <w:vAlign w:val="center"/>
            <w:hideMark/>
          </w:tcPr>
          <w:p w:rsidR="00171B1B" w:rsidRPr="00171B1B" w:rsidRDefault="00171B1B" w:rsidP="00171B1B">
            <w:pPr>
              <w:jc w:val="center"/>
              <w:rPr>
                <w:b/>
                <w:bCs/>
                <w:sz w:val="22"/>
                <w:szCs w:val="22"/>
                <w:lang w:val="en-AU" w:eastAsia="en-AU"/>
              </w:rPr>
            </w:pPr>
            <w:r w:rsidRPr="00171B1B">
              <w:rPr>
                <w:b/>
                <w:bCs/>
                <w:sz w:val="22"/>
                <w:szCs w:val="22"/>
                <w:lang w:val="en-AU" w:eastAsia="en-AU"/>
              </w:rPr>
              <w:t>Total</w:t>
            </w:r>
          </w:p>
        </w:tc>
      </w:tr>
      <w:tr w:rsidR="00171B1B" w:rsidRPr="00171B1B" w:rsidTr="00171B1B">
        <w:trPr>
          <w:trHeight w:val="300"/>
        </w:trPr>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171B1B" w:rsidRPr="00171B1B" w:rsidRDefault="00171B1B" w:rsidP="00171B1B">
            <w:pPr>
              <w:jc w:val="center"/>
              <w:rPr>
                <w:sz w:val="22"/>
                <w:szCs w:val="22"/>
                <w:lang w:val="en-AU" w:eastAsia="en-AU"/>
              </w:rPr>
            </w:pPr>
            <w:r w:rsidRPr="00171B1B">
              <w:rPr>
                <w:sz w:val="22"/>
                <w:szCs w:val="22"/>
                <w:lang w:val="en-AU" w:eastAsia="en-AU"/>
              </w:rPr>
              <w:t>2006</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46,511</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545</w:t>
            </w:r>
          </w:p>
        </w:tc>
        <w:tc>
          <w:tcPr>
            <w:tcW w:w="9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1,654</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48,710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66,380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70.1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0.8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2.5</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73.4</w:t>
            </w:r>
          </w:p>
        </w:tc>
      </w:tr>
      <w:tr w:rsidR="00171B1B" w:rsidRPr="00171B1B" w:rsidTr="00171B1B">
        <w:trPr>
          <w:trHeight w:val="300"/>
        </w:trPr>
        <w:tc>
          <w:tcPr>
            <w:tcW w:w="960" w:type="dxa"/>
            <w:tcBorders>
              <w:top w:val="nil"/>
              <w:left w:val="single" w:sz="4" w:space="0" w:color="auto"/>
              <w:bottom w:val="single" w:sz="4" w:space="0" w:color="auto"/>
              <w:right w:val="nil"/>
            </w:tcBorders>
            <w:shd w:val="clear" w:color="000000" w:fill="FFFFFF"/>
            <w:noWrap/>
            <w:vAlign w:val="center"/>
            <w:hideMark/>
          </w:tcPr>
          <w:p w:rsidR="00171B1B" w:rsidRPr="00171B1B" w:rsidRDefault="00171B1B" w:rsidP="00171B1B">
            <w:pPr>
              <w:jc w:val="center"/>
              <w:rPr>
                <w:sz w:val="22"/>
                <w:szCs w:val="22"/>
                <w:lang w:val="en-AU" w:eastAsia="en-AU"/>
              </w:rPr>
            </w:pPr>
            <w:r w:rsidRPr="00171B1B">
              <w:rPr>
                <w:sz w:val="22"/>
                <w:szCs w:val="22"/>
                <w:lang w:val="en-AU" w:eastAsia="en-AU"/>
              </w:rPr>
              <w:t>2007</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45,859</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703</w:t>
            </w:r>
          </w:p>
        </w:tc>
        <w:tc>
          <w:tcPr>
            <w:tcW w:w="9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2,405</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48,967</w:t>
            </w:r>
          </w:p>
        </w:tc>
        <w:tc>
          <w:tcPr>
            <w:tcW w:w="12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67,333</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68.1</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1.0</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3.6</w:t>
            </w:r>
          </w:p>
        </w:tc>
        <w:tc>
          <w:tcPr>
            <w:tcW w:w="9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72.7</w:t>
            </w:r>
          </w:p>
        </w:tc>
      </w:tr>
      <w:tr w:rsidR="00171B1B" w:rsidRPr="00171B1B" w:rsidTr="00171B1B">
        <w:trPr>
          <w:trHeight w:val="300"/>
        </w:trPr>
        <w:tc>
          <w:tcPr>
            <w:tcW w:w="960" w:type="dxa"/>
            <w:tcBorders>
              <w:top w:val="nil"/>
              <w:left w:val="single" w:sz="4" w:space="0" w:color="auto"/>
              <w:bottom w:val="single" w:sz="4" w:space="0" w:color="auto"/>
              <w:right w:val="nil"/>
            </w:tcBorders>
            <w:shd w:val="clear" w:color="000000" w:fill="FFFFFF"/>
            <w:noWrap/>
            <w:vAlign w:val="center"/>
            <w:hideMark/>
          </w:tcPr>
          <w:p w:rsidR="00171B1B" w:rsidRPr="00171B1B" w:rsidRDefault="00171B1B" w:rsidP="00171B1B">
            <w:pPr>
              <w:jc w:val="center"/>
              <w:rPr>
                <w:sz w:val="22"/>
                <w:szCs w:val="22"/>
                <w:lang w:val="en-AU" w:eastAsia="en-AU"/>
              </w:rPr>
            </w:pPr>
            <w:r w:rsidRPr="00171B1B">
              <w:rPr>
                <w:sz w:val="22"/>
                <w:szCs w:val="22"/>
                <w:lang w:val="en-AU" w:eastAsia="en-AU"/>
              </w:rPr>
              <w:t>2008</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45,979</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869</w:t>
            </w:r>
          </w:p>
        </w:tc>
        <w:tc>
          <w:tcPr>
            <w:tcW w:w="9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3,017</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49,865</w:t>
            </w:r>
          </w:p>
        </w:tc>
        <w:tc>
          <w:tcPr>
            <w:tcW w:w="12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67,633</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68.0</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1.3</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4.5</w:t>
            </w:r>
          </w:p>
        </w:tc>
        <w:tc>
          <w:tcPr>
            <w:tcW w:w="9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73.7</w:t>
            </w:r>
          </w:p>
        </w:tc>
      </w:tr>
      <w:tr w:rsidR="00171B1B" w:rsidRPr="00171B1B" w:rsidTr="00171B1B">
        <w:trPr>
          <w:trHeight w:val="300"/>
        </w:trPr>
        <w:tc>
          <w:tcPr>
            <w:tcW w:w="960" w:type="dxa"/>
            <w:tcBorders>
              <w:top w:val="nil"/>
              <w:left w:val="single" w:sz="4" w:space="0" w:color="auto"/>
              <w:bottom w:val="single" w:sz="4" w:space="0" w:color="auto"/>
              <w:right w:val="nil"/>
            </w:tcBorders>
            <w:shd w:val="clear" w:color="000000" w:fill="FFFFFF"/>
            <w:noWrap/>
            <w:vAlign w:val="center"/>
            <w:hideMark/>
          </w:tcPr>
          <w:p w:rsidR="00171B1B" w:rsidRPr="00171B1B" w:rsidRDefault="00171B1B" w:rsidP="00171B1B">
            <w:pPr>
              <w:jc w:val="center"/>
              <w:rPr>
                <w:sz w:val="22"/>
                <w:szCs w:val="22"/>
                <w:lang w:val="en-AU" w:eastAsia="en-AU"/>
              </w:rPr>
            </w:pPr>
            <w:r w:rsidRPr="00171B1B">
              <w:rPr>
                <w:sz w:val="22"/>
                <w:szCs w:val="22"/>
                <w:lang w:val="en-AU" w:eastAsia="en-AU"/>
              </w:rPr>
              <w:t>2009</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47,154</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876</w:t>
            </w:r>
          </w:p>
        </w:tc>
        <w:tc>
          <w:tcPr>
            <w:tcW w:w="9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3,493</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51,523</w:t>
            </w:r>
          </w:p>
        </w:tc>
        <w:tc>
          <w:tcPr>
            <w:tcW w:w="12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69,936</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67.4</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1.3</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5.0</w:t>
            </w:r>
          </w:p>
        </w:tc>
        <w:tc>
          <w:tcPr>
            <w:tcW w:w="9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73.7</w:t>
            </w:r>
          </w:p>
        </w:tc>
      </w:tr>
      <w:tr w:rsidR="00171B1B" w:rsidRPr="00171B1B" w:rsidTr="00171B1B">
        <w:trPr>
          <w:trHeight w:val="300"/>
        </w:trPr>
        <w:tc>
          <w:tcPr>
            <w:tcW w:w="960" w:type="dxa"/>
            <w:tcBorders>
              <w:top w:val="nil"/>
              <w:left w:val="single" w:sz="4" w:space="0" w:color="auto"/>
              <w:bottom w:val="single" w:sz="4" w:space="0" w:color="auto"/>
              <w:right w:val="nil"/>
            </w:tcBorders>
            <w:shd w:val="clear" w:color="000000" w:fill="FFFFFF"/>
            <w:noWrap/>
            <w:vAlign w:val="center"/>
            <w:hideMark/>
          </w:tcPr>
          <w:p w:rsidR="00171B1B" w:rsidRPr="00171B1B" w:rsidRDefault="00171B1B" w:rsidP="00171B1B">
            <w:pPr>
              <w:jc w:val="center"/>
              <w:rPr>
                <w:sz w:val="22"/>
                <w:szCs w:val="22"/>
                <w:lang w:val="en-AU" w:eastAsia="en-AU"/>
              </w:rPr>
            </w:pPr>
            <w:r w:rsidRPr="00171B1B">
              <w:rPr>
                <w:sz w:val="22"/>
                <w:szCs w:val="22"/>
                <w:lang w:val="en-AU" w:eastAsia="en-AU"/>
              </w:rPr>
              <w:t>2010</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47,114</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974</w:t>
            </w:r>
          </w:p>
        </w:tc>
        <w:tc>
          <w:tcPr>
            <w:tcW w:w="9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3,979</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52,067</w:t>
            </w:r>
          </w:p>
        </w:tc>
        <w:tc>
          <w:tcPr>
            <w:tcW w:w="12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70,584</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66.7</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1.4</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5.6</w:t>
            </w:r>
          </w:p>
        </w:tc>
        <w:tc>
          <w:tcPr>
            <w:tcW w:w="9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73.8</w:t>
            </w:r>
          </w:p>
        </w:tc>
      </w:tr>
      <w:tr w:rsidR="00171B1B" w:rsidRPr="00171B1B" w:rsidTr="00171B1B">
        <w:trPr>
          <w:trHeight w:val="300"/>
        </w:trPr>
        <w:tc>
          <w:tcPr>
            <w:tcW w:w="960" w:type="dxa"/>
            <w:tcBorders>
              <w:top w:val="nil"/>
              <w:left w:val="single" w:sz="4" w:space="0" w:color="auto"/>
              <w:bottom w:val="single" w:sz="4" w:space="0" w:color="auto"/>
              <w:right w:val="nil"/>
            </w:tcBorders>
            <w:shd w:val="clear" w:color="000000" w:fill="FFFFFF"/>
            <w:noWrap/>
            <w:vAlign w:val="center"/>
            <w:hideMark/>
          </w:tcPr>
          <w:p w:rsidR="00171B1B" w:rsidRPr="00171B1B" w:rsidRDefault="00171B1B" w:rsidP="00171B1B">
            <w:pPr>
              <w:jc w:val="center"/>
              <w:rPr>
                <w:sz w:val="22"/>
                <w:szCs w:val="22"/>
                <w:lang w:val="en-AU" w:eastAsia="en-AU"/>
              </w:rPr>
            </w:pPr>
            <w:r w:rsidRPr="00171B1B">
              <w:rPr>
                <w:sz w:val="22"/>
                <w:szCs w:val="22"/>
                <w:lang w:val="en-AU" w:eastAsia="en-AU"/>
              </w:rPr>
              <w:t>2011</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46,481</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1,066</w:t>
            </w:r>
          </w:p>
        </w:tc>
        <w:tc>
          <w:tcPr>
            <w:tcW w:w="9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4,454</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52,001</w:t>
            </w:r>
          </w:p>
        </w:tc>
        <w:tc>
          <w:tcPr>
            <w:tcW w:w="12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70,047</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66.4</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1.5</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6.4</w:t>
            </w:r>
          </w:p>
        </w:tc>
        <w:tc>
          <w:tcPr>
            <w:tcW w:w="9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74.2</w:t>
            </w:r>
          </w:p>
        </w:tc>
      </w:tr>
      <w:tr w:rsidR="00171B1B" w:rsidRPr="00171B1B" w:rsidTr="00171B1B">
        <w:trPr>
          <w:trHeight w:val="300"/>
        </w:trPr>
        <w:tc>
          <w:tcPr>
            <w:tcW w:w="960" w:type="dxa"/>
            <w:tcBorders>
              <w:top w:val="nil"/>
              <w:left w:val="single" w:sz="4" w:space="0" w:color="auto"/>
              <w:bottom w:val="single" w:sz="4" w:space="0" w:color="auto"/>
              <w:right w:val="nil"/>
            </w:tcBorders>
            <w:shd w:val="clear" w:color="000000" w:fill="FFFFFF"/>
            <w:noWrap/>
            <w:vAlign w:val="center"/>
            <w:hideMark/>
          </w:tcPr>
          <w:p w:rsidR="00171B1B" w:rsidRPr="00171B1B" w:rsidRDefault="00171B1B" w:rsidP="00171B1B">
            <w:pPr>
              <w:jc w:val="center"/>
              <w:rPr>
                <w:sz w:val="22"/>
                <w:szCs w:val="22"/>
                <w:lang w:val="en-AU" w:eastAsia="en-AU"/>
              </w:rPr>
            </w:pPr>
            <w:r w:rsidRPr="00171B1B">
              <w:rPr>
                <w:sz w:val="22"/>
                <w:szCs w:val="22"/>
                <w:lang w:val="en-AU" w:eastAsia="en-AU"/>
              </w:rPr>
              <w:t>2012</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47,396</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1,097</w:t>
            </w:r>
          </w:p>
        </w:tc>
        <w:tc>
          <w:tcPr>
            <w:tcW w:w="9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4,830</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53,323</w:t>
            </w:r>
          </w:p>
        </w:tc>
        <w:tc>
          <w:tcPr>
            <w:tcW w:w="12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70,323</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67.4</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1.6</w:t>
            </w:r>
          </w:p>
        </w:tc>
        <w:tc>
          <w:tcPr>
            <w:tcW w:w="96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6.9</w:t>
            </w:r>
          </w:p>
        </w:tc>
        <w:tc>
          <w:tcPr>
            <w:tcW w:w="980" w:type="dxa"/>
            <w:tcBorders>
              <w:top w:val="nil"/>
              <w:left w:val="nil"/>
              <w:bottom w:val="single" w:sz="4" w:space="0" w:color="auto"/>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75.8</w:t>
            </w:r>
          </w:p>
        </w:tc>
      </w:tr>
      <w:tr w:rsidR="00171B1B" w:rsidRPr="00171B1B" w:rsidTr="00171B1B">
        <w:trPr>
          <w:trHeight w:val="300"/>
        </w:trPr>
        <w:tc>
          <w:tcPr>
            <w:tcW w:w="960" w:type="dxa"/>
            <w:tcBorders>
              <w:top w:val="nil"/>
              <w:left w:val="single" w:sz="4" w:space="0" w:color="auto"/>
              <w:bottom w:val="nil"/>
              <w:right w:val="nil"/>
            </w:tcBorders>
            <w:shd w:val="clear" w:color="000000" w:fill="FFFFFF"/>
            <w:noWrap/>
            <w:vAlign w:val="center"/>
            <w:hideMark/>
          </w:tcPr>
          <w:p w:rsidR="00171B1B" w:rsidRPr="00171B1B" w:rsidRDefault="00171B1B" w:rsidP="00171B1B">
            <w:pPr>
              <w:jc w:val="center"/>
              <w:rPr>
                <w:sz w:val="22"/>
                <w:szCs w:val="22"/>
                <w:lang w:val="en-AU" w:eastAsia="en-AU"/>
              </w:rPr>
            </w:pPr>
            <w:r w:rsidRPr="00171B1B">
              <w:rPr>
                <w:sz w:val="22"/>
                <w:szCs w:val="22"/>
                <w:lang w:val="en-AU" w:eastAsia="en-AU"/>
              </w:rPr>
              <w:t>2013</w:t>
            </w:r>
          </w:p>
        </w:tc>
        <w:tc>
          <w:tcPr>
            <w:tcW w:w="960" w:type="dxa"/>
            <w:tcBorders>
              <w:top w:val="nil"/>
              <w:left w:val="single" w:sz="4" w:space="0" w:color="auto"/>
              <w:bottom w:val="nil"/>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47,643</w:t>
            </w:r>
          </w:p>
        </w:tc>
        <w:tc>
          <w:tcPr>
            <w:tcW w:w="960" w:type="dxa"/>
            <w:tcBorders>
              <w:top w:val="nil"/>
              <w:left w:val="nil"/>
              <w:bottom w:val="nil"/>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1,040</w:t>
            </w:r>
          </w:p>
        </w:tc>
        <w:tc>
          <w:tcPr>
            <w:tcW w:w="980" w:type="dxa"/>
            <w:tcBorders>
              <w:top w:val="nil"/>
              <w:left w:val="nil"/>
              <w:bottom w:val="nil"/>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5,328</w:t>
            </w:r>
          </w:p>
        </w:tc>
        <w:tc>
          <w:tcPr>
            <w:tcW w:w="960" w:type="dxa"/>
            <w:tcBorders>
              <w:top w:val="nil"/>
              <w:left w:val="nil"/>
              <w:bottom w:val="nil"/>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54,011</w:t>
            </w:r>
          </w:p>
        </w:tc>
        <w:tc>
          <w:tcPr>
            <w:tcW w:w="1280" w:type="dxa"/>
            <w:tcBorders>
              <w:top w:val="nil"/>
              <w:left w:val="nil"/>
              <w:bottom w:val="nil"/>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70,583</w:t>
            </w:r>
          </w:p>
        </w:tc>
        <w:tc>
          <w:tcPr>
            <w:tcW w:w="960" w:type="dxa"/>
            <w:tcBorders>
              <w:top w:val="nil"/>
              <w:left w:val="nil"/>
              <w:bottom w:val="nil"/>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67.5</w:t>
            </w:r>
          </w:p>
        </w:tc>
        <w:tc>
          <w:tcPr>
            <w:tcW w:w="960" w:type="dxa"/>
            <w:tcBorders>
              <w:top w:val="nil"/>
              <w:left w:val="nil"/>
              <w:bottom w:val="nil"/>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1.5</w:t>
            </w:r>
          </w:p>
        </w:tc>
        <w:tc>
          <w:tcPr>
            <w:tcW w:w="960" w:type="dxa"/>
            <w:tcBorders>
              <w:top w:val="nil"/>
              <w:left w:val="nil"/>
              <w:bottom w:val="nil"/>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7.5</w:t>
            </w:r>
          </w:p>
        </w:tc>
        <w:tc>
          <w:tcPr>
            <w:tcW w:w="980" w:type="dxa"/>
            <w:tcBorders>
              <w:top w:val="nil"/>
              <w:left w:val="nil"/>
              <w:bottom w:val="nil"/>
              <w:right w:val="single" w:sz="4" w:space="0" w:color="auto"/>
            </w:tcBorders>
            <w:shd w:val="clear" w:color="000000" w:fill="FFFFFF"/>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76.5</w:t>
            </w:r>
          </w:p>
        </w:tc>
      </w:tr>
      <w:tr w:rsidR="00171B1B" w:rsidRPr="00171B1B" w:rsidTr="00171B1B">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171B1B" w:rsidRPr="00171B1B" w:rsidRDefault="00171B1B" w:rsidP="00171B1B">
            <w:pPr>
              <w:jc w:val="center"/>
              <w:rPr>
                <w:sz w:val="22"/>
                <w:szCs w:val="22"/>
                <w:lang w:val="en-AU" w:eastAsia="en-AU"/>
              </w:rPr>
            </w:pPr>
            <w:r w:rsidRPr="00171B1B">
              <w:rPr>
                <w:sz w:val="22"/>
                <w:szCs w:val="22"/>
                <w:lang w:val="en-AU" w:eastAsia="en-AU"/>
              </w:rPr>
              <w:t>2014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47,574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1,310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5,935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54,819</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71,062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66.9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8.4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77.1</w:t>
            </w:r>
          </w:p>
        </w:tc>
      </w:tr>
      <w:tr w:rsidR="00171B1B" w:rsidRPr="00171B1B" w:rsidTr="00171B1B">
        <w:trPr>
          <w:trHeight w:val="300"/>
        </w:trPr>
        <w:tc>
          <w:tcPr>
            <w:tcW w:w="960" w:type="dxa"/>
            <w:tcBorders>
              <w:top w:val="nil"/>
              <w:left w:val="single" w:sz="4" w:space="0" w:color="auto"/>
              <w:bottom w:val="single" w:sz="4" w:space="0" w:color="auto"/>
              <w:right w:val="nil"/>
            </w:tcBorders>
            <w:shd w:val="clear" w:color="000000" w:fill="FFFFFF"/>
            <w:noWrap/>
            <w:vAlign w:val="center"/>
            <w:hideMark/>
          </w:tcPr>
          <w:p w:rsidR="00171B1B" w:rsidRPr="00171B1B" w:rsidRDefault="00171B1B" w:rsidP="00171B1B">
            <w:pPr>
              <w:jc w:val="center"/>
              <w:rPr>
                <w:sz w:val="22"/>
                <w:szCs w:val="22"/>
                <w:lang w:val="en-AU" w:eastAsia="en-AU"/>
              </w:rPr>
            </w:pPr>
            <w:r w:rsidRPr="00171B1B">
              <w:rPr>
                <w:sz w:val="22"/>
                <w:szCs w:val="22"/>
                <w:lang w:val="en-AU" w:eastAsia="en-AU"/>
              </w:rPr>
              <w:t>2015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1B1B" w:rsidRPr="00171B1B" w:rsidRDefault="00171B1B" w:rsidP="00171B1B">
            <w:pPr>
              <w:jc w:val="right"/>
              <w:rPr>
                <w:color w:val="000000"/>
                <w:sz w:val="22"/>
                <w:szCs w:val="22"/>
                <w:lang w:val="en-AU" w:eastAsia="en-AU"/>
              </w:rPr>
            </w:pPr>
            <w:r w:rsidRPr="00171B1B">
              <w:rPr>
                <w:color w:val="000000"/>
                <w:sz w:val="22"/>
                <w:szCs w:val="22"/>
                <w:lang w:val="en-AU" w:eastAsia="en-AU"/>
              </w:rPr>
              <w:t>47,460</w:t>
            </w:r>
          </w:p>
        </w:tc>
        <w:tc>
          <w:tcPr>
            <w:tcW w:w="960" w:type="dxa"/>
            <w:tcBorders>
              <w:top w:val="nil"/>
              <w:left w:val="nil"/>
              <w:bottom w:val="single" w:sz="4" w:space="0" w:color="auto"/>
              <w:right w:val="single" w:sz="4" w:space="0" w:color="auto"/>
            </w:tcBorders>
            <w:shd w:val="clear" w:color="auto" w:fill="auto"/>
            <w:noWrap/>
            <w:vAlign w:val="center"/>
            <w:hideMark/>
          </w:tcPr>
          <w:p w:rsidR="00171B1B" w:rsidRPr="00171B1B" w:rsidRDefault="00171B1B" w:rsidP="00171B1B">
            <w:pPr>
              <w:jc w:val="right"/>
              <w:rPr>
                <w:color w:val="000000"/>
                <w:sz w:val="22"/>
                <w:szCs w:val="22"/>
                <w:lang w:val="en-AU" w:eastAsia="en-AU"/>
              </w:rPr>
            </w:pPr>
            <w:r w:rsidRPr="00171B1B">
              <w:rPr>
                <w:color w:val="000000"/>
                <w:sz w:val="22"/>
                <w:szCs w:val="22"/>
                <w:lang w:val="en-AU" w:eastAsia="en-AU"/>
              </w:rPr>
              <w:t>891</w:t>
            </w:r>
          </w:p>
        </w:tc>
        <w:tc>
          <w:tcPr>
            <w:tcW w:w="980" w:type="dxa"/>
            <w:tcBorders>
              <w:top w:val="nil"/>
              <w:left w:val="nil"/>
              <w:bottom w:val="single" w:sz="4" w:space="0" w:color="auto"/>
              <w:right w:val="single" w:sz="4" w:space="0" w:color="auto"/>
            </w:tcBorders>
            <w:shd w:val="clear" w:color="auto" w:fill="auto"/>
            <w:noWrap/>
            <w:vAlign w:val="center"/>
            <w:hideMark/>
          </w:tcPr>
          <w:p w:rsidR="00171B1B" w:rsidRPr="00171B1B" w:rsidRDefault="00171B1B" w:rsidP="00171B1B">
            <w:pPr>
              <w:jc w:val="right"/>
              <w:rPr>
                <w:color w:val="000000"/>
                <w:sz w:val="22"/>
                <w:szCs w:val="22"/>
                <w:lang w:val="en-AU" w:eastAsia="en-AU"/>
              </w:rPr>
            </w:pPr>
            <w:r w:rsidRPr="00171B1B">
              <w:rPr>
                <w:color w:val="000000"/>
                <w:sz w:val="22"/>
                <w:szCs w:val="22"/>
                <w:lang w:val="en-AU" w:eastAsia="en-AU"/>
              </w:rPr>
              <w:t>6,696</w:t>
            </w:r>
          </w:p>
        </w:tc>
        <w:tc>
          <w:tcPr>
            <w:tcW w:w="960" w:type="dxa"/>
            <w:tcBorders>
              <w:top w:val="nil"/>
              <w:left w:val="nil"/>
              <w:bottom w:val="single" w:sz="4" w:space="0" w:color="auto"/>
              <w:right w:val="single" w:sz="4" w:space="0" w:color="auto"/>
            </w:tcBorders>
            <w:shd w:val="clear" w:color="auto" w:fill="auto"/>
            <w:noWrap/>
            <w:vAlign w:val="center"/>
            <w:hideMark/>
          </w:tcPr>
          <w:p w:rsidR="00171B1B" w:rsidRPr="00171B1B" w:rsidRDefault="00171B1B" w:rsidP="00171B1B">
            <w:pPr>
              <w:jc w:val="right"/>
              <w:rPr>
                <w:color w:val="000000"/>
                <w:sz w:val="22"/>
                <w:szCs w:val="22"/>
                <w:lang w:val="en-AU" w:eastAsia="en-AU"/>
              </w:rPr>
            </w:pPr>
            <w:r w:rsidRPr="00171B1B">
              <w:rPr>
                <w:color w:val="000000"/>
                <w:sz w:val="22"/>
                <w:szCs w:val="22"/>
                <w:lang w:val="en-AU" w:eastAsia="en-AU"/>
              </w:rPr>
              <w:t>55,047</w:t>
            </w:r>
          </w:p>
        </w:tc>
        <w:tc>
          <w:tcPr>
            <w:tcW w:w="1280" w:type="dxa"/>
            <w:tcBorders>
              <w:top w:val="nil"/>
              <w:left w:val="nil"/>
              <w:bottom w:val="single" w:sz="4" w:space="0" w:color="auto"/>
              <w:right w:val="single" w:sz="4" w:space="0" w:color="auto"/>
            </w:tcBorders>
            <w:shd w:val="clear" w:color="auto" w:fill="auto"/>
            <w:noWrap/>
            <w:vAlign w:val="center"/>
            <w:hideMark/>
          </w:tcPr>
          <w:p w:rsidR="00171B1B" w:rsidRPr="00171B1B" w:rsidRDefault="00171B1B" w:rsidP="00171B1B">
            <w:pPr>
              <w:jc w:val="right"/>
              <w:rPr>
                <w:sz w:val="22"/>
                <w:szCs w:val="22"/>
                <w:lang w:val="en-AU" w:eastAsia="en-AU"/>
              </w:rPr>
            </w:pPr>
            <w:r w:rsidRPr="00171B1B">
              <w:rPr>
                <w:sz w:val="22"/>
                <w:szCs w:val="22"/>
                <w:lang w:val="en-AU" w:eastAsia="en-AU"/>
              </w:rPr>
              <w:t>70,252</w:t>
            </w:r>
          </w:p>
        </w:tc>
        <w:tc>
          <w:tcPr>
            <w:tcW w:w="960" w:type="dxa"/>
            <w:tcBorders>
              <w:top w:val="nil"/>
              <w:left w:val="nil"/>
              <w:bottom w:val="single" w:sz="4" w:space="0" w:color="auto"/>
              <w:right w:val="single" w:sz="4" w:space="0" w:color="auto"/>
            </w:tcBorders>
            <w:shd w:val="clear" w:color="auto" w:fill="auto"/>
            <w:noWrap/>
            <w:vAlign w:val="center"/>
            <w:hideMark/>
          </w:tcPr>
          <w:p w:rsidR="00171B1B" w:rsidRPr="00171B1B" w:rsidRDefault="00171B1B" w:rsidP="00171B1B">
            <w:pPr>
              <w:jc w:val="right"/>
              <w:rPr>
                <w:color w:val="000000"/>
                <w:sz w:val="22"/>
                <w:szCs w:val="22"/>
                <w:lang w:val="en-AU" w:eastAsia="en-AU"/>
              </w:rPr>
            </w:pPr>
            <w:r w:rsidRPr="00171B1B">
              <w:rPr>
                <w:color w:val="000000"/>
                <w:sz w:val="22"/>
                <w:szCs w:val="22"/>
                <w:lang w:val="en-AU" w:eastAsia="en-AU"/>
              </w:rPr>
              <w:t>67.6</w:t>
            </w:r>
          </w:p>
        </w:tc>
        <w:tc>
          <w:tcPr>
            <w:tcW w:w="960" w:type="dxa"/>
            <w:tcBorders>
              <w:top w:val="nil"/>
              <w:left w:val="nil"/>
              <w:bottom w:val="single" w:sz="4" w:space="0" w:color="auto"/>
              <w:right w:val="single" w:sz="4" w:space="0" w:color="auto"/>
            </w:tcBorders>
            <w:shd w:val="clear" w:color="auto" w:fill="auto"/>
            <w:noWrap/>
            <w:vAlign w:val="center"/>
            <w:hideMark/>
          </w:tcPr>
          <w:p w:rsidR="00171B1B" w:rsidRPr="00171B1B" w:rsidRDefault="00171B1B" w:rsidP="00171B1B">
            <w:pPr>
              <w:jc w:val="right"/>
              <w:rPr>
                <w:color w:val="000000"/>
                <w:sz w:val="22"/>
                <w:szCs w:val="22"/>
                <w:lang w:val="en-AU" w:eastAsia="en-AU"/>
              </w:rPr>
            </w:pPr>
            <w:r w:rsidRPr="00171B1B">
              <w:rPr>
                <w:color w:val="000000"/>
                <w:sz w:val="22"/>
                <w:szCs w:val="22"/>
                <w:lang w:val="en-AU" w:eastAsia="en-AU"/>
              </w:rPr>
              <w:t>1.3</w:t>
            </w:r>
          </w:p>
        </w:tc>
        <w:tc>
          <w:tcPr>
            <w:tcW w:w="960" w:type="dxa"/>
            <w:tcBorders>
              <w:top w:val="nil"/>
              <w:left w:val="nil"/>
              <w:bottom w:val="single" w:sz="4" w:space="0" w:color="auto"/>
              <w:right w:val="single" w:sz="4" w:space="0" w:color="auto"/>
            </w:tcBorders>
            <w:shd w:val="clear" w:color="auto" w:fill="auto"/>
            <w:noWrap/>
            <w:vAlign w:val="center"/>
            <w:hideMark/>
          </w:tcPr>
          <w:p w:rsidR="00171B1B" w:rsidRPr="00171B1B" w:rsidRDefault="00171B1B" w:rsidP="00171B1B">
            <w:pPr>
              <w:jc w:val="right"/>
              <w:rPr>
                <w:color w:val="000000"/>
                <w:sz w:val="22"/>
                <w:szCs w:val="22"/>
                <w:lang w:val="en-AU" w:eastAsia="en-AU"/>
              </w:rPr>
            </w:pPr>
            <w:r w:rsidRPr="00171B1B">
              <w:rPr>
                <w:color w:val="000000"/>
                <w:sz w:val="22"/>
                <w:szCs w:val="22"/>
                <w:lang w:val="en-AU" w:eastAsia="en-AU"/>
              </w:rPr>
              <w:t>9.5</w:t>
            </w:r>
          </w:p>
        </w:tc>
        <w:tc>
          <w:tcPr>
            <w:tcW w:w="980" w:type="dxa"/>
            <w:tcBorders>
              <w:top w:val="nil"/>
              <w:left w:val="nil"/>
              <w:bottom w:val="single" w:sz="4" w:space="0" w:color="auto"/>
              <w:right w:val="single" w:sz="4" w:space="0" w:color="auto"/>
            </w:tcBorders>
            <w:shd w:val="clear" w:color="auto" w:fill="auto"/>
            <w:noWrap/>
            <w:vAlign w:val="center"/>
            <w:hideMark/>
          </w:tcPr>
          <w:p w:rsidR="00171B1B" w:rsidRPr="00171B1B" w:rsidRDefault="00171B1B" w:rsidP="00171B1B">
            <w:pPr>
              <w:jc w:val="right"/>
              <w:rPr>
                <w:color w:val="000000"/>
                <w:sz w:val="22"/>
                <w:szCs w:val="22"/>
                <w:lang w:val="en-AU" w:eastAsia="en-AU"/>
              </w:rPr>
            </w:pPr>
            <w:r w:rsidRPr="00171B1B">
              <w:rPr>
                <w:color w:val="000000"/>
                <w:sz w:val="22"/>
                <w:szCs w:val="22"/>
                <w:lang w:val="en-AU" w:eastAsia="en-AU"/>
              </w:rPr>
              <w:t>78.4</w:t>
            </w:r>
          </w:p>
        </w:tc>
      </w:tr>
    </w:tbl>
    <w:p w:rsidR="00636196" w:rsidRPr="00636196" w:rsidRDefault="00636196" w:rsidP="00560FF1">
      <w:pPr>
        <w:rPr>
          <w:sz w:val="10"/>
          <w:lang w:val="en-AU" w:eastAsia="en-AU"/>
        </w:rPr>
      </w:pPr>
    </w:p>
    <w:p w:rsidR="0071549D" w:rsidRDefault="00855B05" w:rsidP="00931B09">
      <w:pPr>
        <w:spacing w:after="120"/>
        <w:rPr>
          <w:sz w:val="18"/>
          <w:szCs w:val="18"/>
          <w:lang w:val="en-AU" w:eastAsia="en-AU"/>
        </w:rPr>
      </w:pPr>
      <w:r w:rsidRPr="00855B05">
        <w:rPr>
          <w:sz w:val="18"/>
          <w:szCs w:val="18"/>
          <w:lang w:val="en-AU" w:eastAsia="en-AU"/>
        </w:rPr>
        <w:t>(a) Includes satisfactorily completion at an Intermediate and/or Senior level.</w:t>
      </w:r>
      <w:r w:rsidRPr="00855B05">
        <w:rPr>
          <w:sz w:val="18"/>
          <w:szCs w:val="18"/>
          <w:lang w:val="en-AU" w:eastAsia="en-AU"/>
        </w:rPr>
        <w:br/>
        <w:t>(b) Population figures are sourced from ABS Cat: 3101.0, Australian Demographic Statistics, June 201</w:t>
      </w:r>
      <w:r w:rsidR="00171B1B">
        <w:rPr>
          <w:sz w:val="18"/>
          <w:szCs w:val="18"/>
          <w:lang w:val="en-AU" w:eastAsia="en-AU"/>
        </w:rPr>
        <w:t>5</w:t>
      </w:r>
      <w:r w:rsidRPr="00855B05">
        <w:rPr>
          <w:sz w:val="18"/>
          <w:szCs w:val="18"/>
          <w:lang w:val="en-AU" w:eastAsia="en-AU"/>
        </w:rPr>
        <w:t>.</w:t>
      </w:r>
      <w:r w:rsidRPr="00855B05">
        <w:rPr>
          <w:sz w:val="18"/>
          <w:szCs w:val="18"/>
          <w:lang w:val="en-AU" w:eastAsia="en-AU"/>
        </w:rPr>
        <w:br/>
        <w:t>The Estimated Resident Population of 17 year olds two years earlier is used as the population for the aged 19 cohort. This is to mitigate the impact of migration of young people after leaving school. The adoption of this age group for the calculation of completion rate by age 19 is consistent with DEECD's approach. In the previous report, the population of 19 year olds was used as a denominator to calculate th</w:t>
      </w:r>
      <w:r w:rsidR="00F40011">
        <w:rPr>
          <w:sz w:val="18"/>
          <w:szCs w:val="18"/>
          <w:lang w:val="en-AU" w:eastAsia="en-AU"/>
        </w:rPr>
        <w:t>e completion rates.</w:t>
      </w:r>
      <w:r w:rsidR="00F40011">
        <w:rPr>
          <w:sz w:val="18"/>
          <w:szCs w:val="18"/>
          <w:lang w:val="en-AU" w:eastAsia="en-AU"/>
        </w:rPr>
        <w:br/>
        <w:t>(c) The 2011</w:t>
      </w:r>
      <w:r w:rsidRPr="00855B05">
        <w:rPr>
          <w:sz w:val="18"/>
          <w:szCs w:val="18"/>
          <w:lang w:val="en-AU" w:eastAsia="en-AU"/>
        </w:rPr>
        <w:t>-201</w:t>
      </w:r>
      <w:r w:rsidR="00C347D2">
        <w:rPr>
          <w:sz w:val="18"/>
          <w:szCs w:val="18"/>
          <w:lang w:val="en-AU" w:eastAsia="en-AU"/>
        </w:rPr>
        <w:t>5</w:t>
      </w:r>
      <w:r w:rsidRPr="00855B05">
        <w:rPr>
          <w:sz w:val="18"/>
          <w:szCs w:val="18"/>
          <w:lang w:val="en-AU" w:eastAsia="en-AU"/>
        </w:rPr>
        <w:t xml:space="preserve"> estimated resident population figures are preliminary.</w:t>
      </w:r>
    </w:p>
    <w:p w:rsidR="00855B05" w:rsidRPr="00855B05" w:rsidRDefault="00855B05" w:rsidP="00931B09">
      <w:pPr>
        <w:spacing w:after="120"/>
        <w:rPr>
          <w:b/>
          <w:sz w:val="18"/>
          <w:szCs w:val="18"/>
          <w:lang w:val="en-AU"/>
        </w:rPr>
      </w:pPr>
    </w:p>
    <w:p w:rsidR="00CD35EE" w:rsidRPr="006B050F" w:rsidRDefault="006B050F" w:rsidP="00F8784B">
      <w:pPr>
        <w:ind w:right="284"/>
        <w:jc w:val="both"/>
        <w:rPr>
          <w:sz w:val="24"/>
          <w:szCs w:val="24"/>
        </w:rPr>
      </w:pPr>
      <w:r w:rsidRPr="006B050F">
        <w:rPr>
          <w:sz w:val="24"/>
          <w:szCs w:val="24"/>
          <w:lang w:val="en-AU"/>
        </w:rPr>
        <w:t xml:space="preserve">It should be noted that the Department of Education and </w:t>
      </w:r>
      <w:r w:rsidR="00CB375B">
        <w:rPr>
          <w:sz w:val="24"/>
          <w:szCs w:val="24"/>
          <w:lang w:val="en-AU"/>
        </w:rPr>
        <w:t>Training (DET)</w:t>
      </w:r>
      <w:r w:rsidRPr="006B050F">
        <w:rPr>
          <w:sz w:val="24"/>
          <w:szCs w:val="24"/>
          <w:lang w:val="en-AU"/>
        </w:rPr>
        <w:t xml:space="preserve"> publishes the attainment rates of Year 12 or equivalent at age 19. Apart from VCE and VCAL, the attainment also includes International Baccalaureate and non-school qualifications at an Australian Qualifications Framework (AQF) Level 2 or higher (i.e. Certificate II and above).</w:t>
      </w:r>
    </w:p>
    <w:sectPr w:rsidR="00CD35EE" w:rsidRPr="006B050F" w:rsidSect="006B050F">
      <w:pgSz w:w="11909" w:h="16834" w:code="9"/>
      <w:pgMar w:top="993" w:right="851" w:bottom="1134"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C8" w:rsidRDefault="00221AC8">
      <w:r>
        <w:separator/>
      </w:r>
    </w:p>
  </w:endnote>
  <w:endnote w:type="continuationSeparator" w:id="0">
    <w:p w:rsidR="00221AC8" w:rsidRDefault="0022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C8" w:rsidRDefault="00221AC8" w:rsidP="00B93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1AC8" w:rsidRDefault="00221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C8" w:rsidRDefault="00221AC8" w:rsidP="00B93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1B1B">
      <w:rPr>
        <w:rStyle w:val="PageNumber"/>
        <w:noProof/>
      </w:rPr>
      <w:t>1</w:t>
    </w:r>
    <w:r>
      <w:rPr>
        <w:rStyle w:val="PageNumber"/>
      </w:rPr>
      <w:fldChar w:fldCharType="end"/>
    </w:r>
  </w:p>
  <w:p w:rsidR="00221AC8" w:rsidRPr="00E66ACD" w:rsidRDefault="00BB5D66" w:rsidP="00B93ABE">
    <w:pPr>
      <w:pStyle w:val="Footer"/>
    </w:pPr>
    <w:r>
      <w:t>© VCAA,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C8" w:rsidRDefault="00221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C8" w:rsidRDefault="00221AC8"/>
  </w:footnote>
  <w:footnote w:type="continuationSeparator" w:id="0">
    <w:p w:rsidR="00221AC8" w:rsidRDefault="0022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C8" w:rsidRDefault="00221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C8" w:rsidRPr="00B93ABE" w:rsidRDefault="00221AC8">
    <w:pPr>
      <w:pStyle w:val="Header"/>
      <w:rPr>
        <w:lang w:val="en-AU"/>
      </w:rPr>
    </w:pPr>
    <w:r>
      <w:rPr>
        <w:lang w:val="en-AU"/>
      </w:rPr>
      <w:t>DAMRU, VCAA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C8" w:rsidRDefault="00221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F8C"/>
    <w:multiLevelType w:val="hybridMultilevel"/>
    <w:tmpl w:val="CF3A5F1E"/>
    <w:lvl w:ilvl="0" w:tplc="9E7C722A">
      <w:start w:val="1"/>
      <w:numFmt w:val="lowerLetter"/>
      <w:lvlText w:val="(%1)"/>
      <w:lvlJc w:val="left"/>
      <w:pPr>
        <w:tabs>
          <w:tab w:val="num" w:pos="720"/>
        </w:tabs>
        <w:ind w:left="720" w:hanging="360"/>
      </w:pPr>
      <w:rPr>
        <w:rFonts w:hint="default"/>
      </w:rPr>
    </w:lvl>
    <w:lvl w:ilvl="1" w:tplc="03E607EE">
      <w:start w:val="1"/>
      <w:numFmt w:val="bullet"/>
      <w:lvlText w:val=""/>
      <w:lvlJc w:val="left"/>
      <w:pPr>
        <w:tabs>
          <w:tab w:val="num" w:pos="1307"/>
        </w:tabs>
        <w:ind w:left="1307" w:hanging="227"/>
      </w:pPr>
      <w:rPr>
        <w:rFonts w:ascii="Symbol" w:hAnsi="Symbol" w:hint="default"/>
        <w:sz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40C6433"/>
    <w:multiLevelType w:val="hybridMultilevel"/>
    <w:tmpl w:val="AC1C4660"/>
    <w:lvl w:ilvl="0" w:tplc="178E098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3323F84"/>
    <w:multiLevelType w:val="hybridMultilevel"/>
    <w:tmpl w:val="891C81CE"/>
    <w:lvl w:ilvl="0" w:tplc="03E607EE">
      <w:start w:val="1"/>
      <w:numFmt w:val="bullet"/>
      <w:lvlText w:val=""/>
      <w:lvlJc w:val="left"/>
      <w:pPr>
        <w:tabs>
          <w:tab w:val="num" w:pos="284"/>
        </w:tabs>
        <w:ind w:left="284" w:hanging="227"/>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6A4471C5"/>
    <w:multiLevelType w:val="singleLevel"/>
    <w:tmpl w:val="66322084"/>
    <w:lvl w:ilvl="0">
      <w:start w:val="1"/>
      <w:numFmt w:val="bullet"/>
      <w:pStyle w:val="BodyTextBulletPoint"/>
      <w:lvlText w:val=""/>
      <w:lvlJc w:val="left"/>
      <w:pPr>
        <w:tabs>
          <w:tab w:val="num" w:pos="720"/>
        </w:tabs>
        <w:ind w:left="720" w:hanging="360"/>
      </w:pPr>
      <w:rPr>
        <w:rFonts w:ascii="Symbol" w:hAnsi="Symbol" w:hint="default"/>
      </w:rPr>
    </w:lvl>
  </w:abstractNum>
  <w:num w:numId="1">
    <w:abstractNumId w:val="3"/>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2e2d3a3-3bf8-406f-93cb-8f901df68efa"/>
  </w:docVars>
  <w:rsids>
    <w:rsidRoot w:val="00FA2D15"/>
    <w:rsid w:val="00001293"/>
    <w:rsid w:val="000018C3"/>
    <w:rsid w:val="00002164"/>
    <w:rsid w:val="00006752"/>
    <w:rsid w:val="00011A4E"/>
    <w:rsid w:val="00017A37"/>
    <w:rsid w:val="00022B6A"/>
    <w:rsid w:val="00027D57"/>
    <w:rsid w:val="0003027D"/>
    <w:rsid w:val="00033E76"/>
    <w:rsid w:val="00034129"/>
    <w:rsid w:val="0003669B"/>
    <w:rsid w:val="00037AFC"/>
    <w:rsid w:val="00047FF3"/>
    <w:rsid w:val="000533A4"/>
    <w:rsid w:val="00053C3D"/>
    <w:rsid w:val="00054423"/>
    <w:rsid w:val="000545AE"/>
    <w:rsid w:val="00055BC6"/>
    <w:rsid w:val="000574C8"/>
    <w:rsid w:val="00063969"/>
    <w:rsid w:val="00064455"/>
    <w:rsid w:val="00072E0D"/>
    <w:rsid w:val="000775AE"/>
    <w:rsid w:val="000815E2"/>
    <w:rsid w:val="0008235D"/>
    <w:rsid w:val="00085B61"/>
    <w:rsid w:val="000927ED"/>
    <w:rsid w:val="000A2797"/>
    <w:rsid w:val="000A6790"/>
    <w:rsid w:val="000B078C"/>
    <w:rsid w:val="000B37CB"/>
    <w:rsid w:val="000B38D3"/>
    <w:rsid w:val="000B59BB"/>
    <w:rsid w:val="000C303E"/>
    <w:rsid w:val="000C3268"/>
    <w:rsid w:val="000C4651"/>
    <w:rsid w:val="000C644E"/>
    <w:rsid w:val="000C670F"/>
    <w:rsid w:val="000D0ED2"/>
    <w:rsid w:val="000D1903"/>
    <w:rsid w:val="000D2D69"/>
    <w:rsid w:val="000D7F41"/>
    <w:rsid w:val="000E2F8E"/>
    <w:rsid w:val="000F202C"/>
    <w:rsid w:val="000F4CA1"/>
    <w:rsid w:val="00101A88"/>
    <w:rsid w:val="001023B2"/>
    <w:rsid w:val="0010416F"/>
    <w:rsid w:val="00110973"/>
    <w:rsid w:val="00113417"/>
    <w:rsid w:val="00116D33"/>
    <w:rsid w:val="001208D6"/>
    <w:rsid w:val="00126B3C"/>
    <w:rsid w:val="00126E19"/>
    <w:rsid w:val="0013154E"/>
    <w:rsid w:val="0013287A"/>
    <w:rsid w:val="0013447B"/>
    <w:rsid w:val="001464BE"/>
    <w:rsid w:val="00146EF2"/>
    <w:rsid w:val="00155E14"/>
    <w:rsid w:val="00163060"/>
    <w:rsid w:val="00170EFF"/>
    <w:rsid w:val="00171B1B"/>
    <w:rsid w:val="00172016"/>
    <w:rsid w:val="00172E87"/>
    <w:rsid w:val="0017439D"/>
    <w:rsid w:val="00175A20"/>
    <w:rsid w:val="00187DE3"/>
    <w:rsid w:val="001A0C50"/>
    <w:rsid w:val="001A5867"/>
    <w:rsid w:val="001A7379"/>
    <w:rsid w:val="001A7FB0"/>
    <w:rsid w:val="001B06CB"/>
    <w:rsid w:val="001B0FC0"/>
    <w:rsid w:val="001B2B81"/>
    <w:rsid w:val="001D2735"/>
    <w:rsid w:val="001D6FA0"/>
    <w:rsid w:val="001F17B9"/>
    <w:rsid w:val="001F38B8"/>
    <w:rsid w:val="001F69B2"/>
    <w:rsid w:val="001F7EB0"/>
    <w:rsid w:val="00200868"/>
    <w:rsid w:val="002018FE"/>
    <w:rsid w:val="00205883"/>
    <w:rsid w:val="002061F0"/>
    <w:rsid w:val="002069BD"/>
    <w:rsid w:val="002127A3"/>
    <w:rsid w:val="00213A82"/>
    <w:rsid w:val="00213D66"/>
    <w:rsid w:val="00220BE7"/>
    <w:rsid w:val="00221AC8"/>
    <w:rsid w:val="0022397B"/>
    <w:rsid w:val="00225C30"/>
    <w:rsid w:val="002330DA"/>
    <w:rsid w:val="0023607D"/>
    <w:rsid w:val="0023662C"/>
    <w:rsid w:val="00241CEC"/>
    <w:rsid w:val="00250814"/>
    <w:rsid w:val="00251FE8"/>
    <w:rsid w:val="0025449B"/>
    <w:rsid w:val="002558ED"/>
    <w:rsid w:val="002646B0"/>
    <w:rsid w:val="00264D7B"/>
    <w:rsid w:val="00264F93"/>
    <w:rsid w:val="00265203"/>
    <w:rsid w:val="00270B47"/>
    <w:rsid w:val="00274E99"/>
    <w:rsid w:val="002759D2"/>
    <w:rsid w:val="00275C27"/>
    <w:rsid w:val="00280DCA"/>
    <w:rsid w:val="00290D32"/>
    <w:rsid w:val="00295D95"/>
    <w:rsid w:val="002A0697"/>
    <w:rsid w:val="002C2029"/>
    <w:rsid w:val="002C70E7"/>
    <w:rsid w:val="002D1949"/>
    <w:rsid w:val="002E4E19"/>
    <w:rsid w:val="002F07A8"/>
    <w:rsid w:val="002F3C59"/>
    <w:rsid w:val="002F5930"/>
    <w:rsid w:val="003000D5"/>
    <w:rsid w:val="003000E0"/>
    <w:rsid w:val="003023A6"/>
    <w:rsid w:val="00313634"/>
    <w:rsid w:val="00314D8E"/>
    <w:rsid w:val="00317CDA"/>
    <w:rsid w:val="00323518"/>
    <w:rsid w:val="00325C5E"/>
    <w:rsid w:val="00326750"/>
    <w:rsid w:val="00334A07"/>
    <w:rsid w:val="00334CE2"/>
    <w:rsid w:val="00341FC3"/>
    <w:rsid w:val="00342839"/>
    <w:rsid w:val="00345C87"/>
    <w:rsid w:val="00346CFE"/>
    <w:rsid w:val="00347B09"/>
    <w:rsid w:val="00350E97"/>
    <w:rsid w:val="0035336B"/>
    <w:rsid w:val="00354091"/>
    <w:rsid w:val="00355032"/>
    <w:rsid w:val="003566A0"/>
    <w:rsid w:val="00356B01"/>
    <w:rsid w:val="00360576"/>
    <w:rsid w:val="003620E6"/>
    <w:rsid w:val="00363072"/>
    <w:rsid w:val="00365B98"/>
    <w:rsid w:val="00370171"/>
    <w:rsid w:val="0037134F"/>
    <w:rsid w:val="00390D10"/>
    <w:rsid w:val="003968D5"/>
    <w:rsid w:val="00397BB2"/>
    <w:rsid w:val="003A3237"/>
    <w:rsid w:val="003A777A"/>
    <w:rsid w:val="003B135E"/>
    <w:rsid w:val="003B17EA"/>
    <w:rsid w:val="003B1DCF"/>
    <w:rsid w:val="003B705F"/>
    <w:rsid w:val="003D3BBC"/>
    <w:rsid w:val="003D609A"/>
    <w:rsid w:val="003E0EAE"/>
    <w:rsid w:val="004020A6"/>
    <w:rsid w:val="00402C00"/>
    <w:rsid w:val="004109CF"/>
    <w:rsid w:val="004149BA"/>
    <w:rsid w:val="00426AD6"/>
    <w:rsid w:val="0043135E"/>
    <w:rsid w:val="00447CFB"/>
    <w:rsid w:val="004500F9"/>
    <w:rsid w:val="00454BE0"/>
    <w:rsid w:val="004573E2"/>
    <w:rsid w:val="00457BA4"/>
    <w:rsid w:val="004602A8"/>
    <w:rsid w:val="004615D2"/>
    <w:rsid w:val="0046544C"/>
    <w:rsid w:val="00477261"/>
    <w:rsid w:val="004827C1"/>
    <w:rsid w:val="004827D2"/>
    <w:rsid w:val="00483D3F"/>
    <w:rsid w:val="0049049C"/>
    <w:rsid w:val="004904C0"/>
    <w:rsid w:val="00491115"/>
    <w:rsid w:val="00493645"/>
    <w:rsid w:val="004A0929"/>
    <w:rsid w:val="004A2C4D"/>
    <w:rsid w:val="004A32DA"/>
    <w:rsid w:val="004A5D0B"/>
    <w:rsid w:val="004A6438"/>
    <w:rsid w:val="004A7D9D"/>
    <w:rsid w:val="004B004A"/>
    <w:rsid w:val="004B2197"/>
    <w:rsid w:val="004B30A2"/>
    <w:rsid w:val="004B38A8"/>
    <w:rsid w:val="004B6402"/>
    <w:rsid w:val="004C30C9"/>
    <w:rsid w:val="004C5E28"/>
    <w:rsid w:val="004C73A1"/>
    <w:rsid w:val="004D0502"/>
    <w:rsid w:val="004D0AF0"/>
    <w:rsid w:val="004F0E9C"/>
    <w:rsid w:val="00505BEB"/>
    <w:rsid w:val="00521B6C"/>
    <w:rsid w:val="00522C18"/>
    <w:rsid w:val="00527EFA"/>
    <w:rsid w:val="00531E62"/>
    <w:rsid w:val="0053217E"/>
    <w:rsid w:val="00532D14"/>
    <w:rsid w:val="00533078"/>
    <w:rsid w:val="005350FB"/>
    <w:rsid w:val="00535239"/>
    <w:rsid w:val="005410C1"/>
    <w:rsid w:val="00542363"/>
    <w:rsid w:val="00543AFE"/>
    <w:rsid w:val="00552F93"/>
    <w:rsid w:val="00554D78"/>
    <w:rsid w:val="00554EF8"/>
    <w:rsid w:val="0055687F"/>
    <w:rsid w:val="00557036"/>
    <w:rsid w:val="00557C45"/>
    <w:rsid w:val="00560FF1"/>
    <w:rsid w:val="0056248F"/>
    <w:rsid w:val="0056523A"/>
    <w:rsid w:val="00566F36"/>
    <w:rsid w:val="00570432"/>
    <w:rsid w:val="00573A15"/>
    <w:rsid w:val="00577230"/>
    <w:rsid w:val="00585756"/>
    <w:rsid w:val="0059059B"/>
    <w:rsid w:val="0059362C"/>
    <w:rsid w:val="00594F9A"/>
    <w:rsid w:val="005979E1"/>
    <w:rsid w:val="005A4C7B"/>
    <w:rsid w:val="005A4CB2"/>
    <w:rsid w:val="005A520B"/>
    <w:rsid w:val="005B42BD"/>
    <w:rsid w:val="005B5ADB"/>
    <w:rsid w:val="005B77F5"/>
    <w:rsid w:val="005B7AFF"/>
    <w:rsid w:val="005C01B3"/>
    <w:rsid w:val="005C1AA9"/>
    <w:rsid w:val="005C24DE"/>
    <w:rsid w:val="005C5116"/>
    <w:rsid w:val="005C613D"/>
    <w:rsid w:val="005D104F"/>
    <w:rsid w:val="005D2621"/>
    <w:rsid w:val="005D3F10"/>
    <w:rsid w:val="005D4849"/>
    <w:rsid w:val="005D4BA5"/>
    <w:rsid w:val="005D5592"/>
    <w:rsid w:val="005D6BB1"/>
    <w:rsid w:val="005D7798"/>
    <w:rsid w:val="005E4E63"/>
    <w:rsid w:val="005F1633"/>
    <w:rsid w:val="005F5957"/>
    <w:rsid w:val="00606A4E"/>
    <w:rsid w:val="00610005"/>
    <w:rsid w:val="006206BF"/>
    <w:rsid w:val="0062382D"/>
    <w:rsid w:val="00636196"/>
    <w:rsid w:val="00637A83"/>
    <w:rsid w:val="00643293"/>
    <w:rsid w:val="00645CF0"/>
    <w:rsid w:val="006519D1"/>
    <w:rsid w:val="00653FF5"/>
    <w:rsid w:val="00664403"/>
    <w:rsid w:val="00665B4F"/>
    <w:rsid w:val="00667787"/>
    <w:rsid w:val="00671D12"/>
    <w:rsid w:val="00672C10"/>
    <w:rsid w:val="00674738"/>
    <w:rsid w:val="00677CFD"/>
    <w:rsid w:val="00682C53"/>
    <w:rsid w:val="00685D2D"/>
    <w:rsid w:val="00687172"/>
    <w:rsid w:val="0069076F"/>
    <w:rsid w:val="006943A7"/>
    <w:rsid w:val="006946D4"/>
    <w:rsid w:val="006B050F"/>
    <w:rsid w:val="006B36AB"/>
    <w:rsid w:val="006B4CFE"/>
    <w:rsid w:val="006B6683"/>
    <w:rsid w:val="006B7B5E"/>
    <w:rsid w:val="006C3395"/>
    <w:rsid w:val="006C35E2"/>
    <w:rsid w:val="006C4619"/>
    <w:rsid w:val="006C50B1"/>
    <w:rsid w:val="006C6899"/>
    <w:rsid w:val="006D4024"/>
    <w:rsid w:val="006D75A5"/>
    <w:rsid w:val="006F01D1"/>
    <w:rsid w:val="006F19CE"/>
    <w:rsid w:val="006F30A3"/>
    <w:rsid w:val="006F3374"/>
    <w:rsid w:val="006F679F"/>
    <w:rsid w:val="007002A8"/>
    <w:rsid w:val="00702995"/>
    <w:rsid w:val="0071438B"/>
    <w:rsid w:val="0071549D"/>
    <w:rsid w:val="007163F4"/>
    <w:rsid w:val="007200C4"/>
    <w:rsid w:val="0072199E"/>
    <w:rsid w:val="00735275"/>
    <w:rsid w:val="00736235"/>
    <w:rsid w:val="00742024"/>
    <w:rsid w:val="0074533F"/>
    <w:rsid w:val="00751853"/>
    <w:rsid w:val="007558F5"/>
    <w:rsid w:val="00757BAE"/>
    <w:rsid w:val="0076499F"/>
    <w:rsid w:val="00774A7B"/>
    <w:rsid w:val="0077672C"/>
    <w:rsid w:val="00777DCB"/>
    <w:rsid w:val="007856BE"/>
    <w:rsid w:val="00791F79"/>
    <w:rsid w:val="007932B1"/>
    <w:rsid w:val="00794850"/>
    <w:rsid w:val="00795813"/>
    <w:rsid w:val="007B02DC"/>
    <w:rsid w:val="007B7968"/>
    <w:rsid w:val="007C0EE5"/>
    <w:rsid w:val="007D1798"/>
    <w:rsid w:val="007D48DE"/>
    <w:rsid w:val="007E5B08"/>
    <w:rsid w:val="007E7732"/>
    <w:rsid w:val="007F2F00"/>
    <w:rsid w:val="007F3D79"/>
    <w:rsid w:val="007F4AF8"/>
    <w:rsid w:val="007F6BBD"/>
    <w:rsid w:val="007F722D"/>
    <w:rsid w:val="00803D89"/>
    <w:rsid w:val="00806D81"/>
    <w:rsid w:val="00812391"/>
    <w:rsid w:val="008139DF"/>
    <w:rsid w:val="00814391"/>
    <w:rsid w:val="00827363"/>
    <w:rsid w:val="00834591"/>
    <w:rsid w:val="008373C5"/>
    <w:rsid w:val="0084237C"/>
    <w:rsid w:val="008559D7"/>
    <w:rsid w:val="00855B05"/>
    <w:rsid w:val="00863ED5"/>
    <w:rsid w:val="00864CCC"/>
    <w:rsid w:val="00866D8C"/>
    <w:rsid w:val="00871E18"/>
    <w:rsid w:val="00873ACE"/>
    <w:rsid w:val="0088013A"/>
    <w:rsid w:val="00890FE1"/>
    <w:rsid w:val="00894074"/>
    <w:rsid w:val="00896066"/>
    <w:rsid w:val="008962A5"/>
    <w:rsid w:val="008A0C57"/>
    <w:rsid w:val="008A2509"/>
    <w:rsid w:val="008A6E7F"/>
    <w:rsid w:val="008B113E"/>
    <w:rsid w:val="008B3BF8"/>
    <w:rsid w:val="008D20DB"/>
    <w:rsid w:val="008D3A6C"/>
    <w:rsid w:val="008F003E"/>
    <w:rsid w:val="008F2B53"/>
    <w:rsid w:val="008F2D76"/>
    <w:rsid w:val="008F41B9"/>
    <w:rsid w:val="008F4302"/>
    <w:rsid w:val="008F7620"/>
    <w:rsid w:val="00901E90"/>
    <w:rsid w:val="00907645"/>
    <w:rsid w:val="00910730"/>
    <w:rsid w:val="00911312"/>
    <w:rsid w:val="00912C11"/>
    <w:rsid w:val="009169B1"/>
    <w:rsid w:val="0092159C"/>
    <w:rsid w:val="00921CAB"/>
    <w:rsid w:val="00922CA8"/>
    <w:rsid w:val="00925B39"/>
    <w:rsid w:val="00926A2C"/>
    <w:rsid w:val="00931B09"/>
    <w:rsid w:val="00931B9D"/>
    <w:rsid w:val="00934C5E"/>
    <w:rsid w:val="009351C1"/>
    <w:rsid w:val="0093548A"/>
    <w:rsid w:val="00936FE0"/>
    <w:rsid w:val="009414B0"/>
    <w:rsid w:val="00942C0F"/>
    <w:rsid w:val="00946638"/>
    <w:rsid w:val="009468C4"/>
    <w:rsid w:val="009505B4"/>
    <w:rsid w:val="009563C6"/>
    <w:rsid w:val="00956EE3"/>
    <w:rsid w:val="00962FE2"/>
    <w:rsid w:val="00974DED"/>
    <w:rsid w:val="009756CA"/>
    <w:rsid w:val="0097762D"/>
    <w:rsid w:val="009815BA"/>
    <w:rsid w:val="00981861"/>
    <w:rsid w:val="00982B9A"/>
    <w:rsid w:val="00983664"/>
    <w:rsid w:val="0098644D"/>
    <w:rsid w:val="00996B68"/>
    <w:rsid w:val="00996DC5"/>
    <w:rsid w:val="00997248"/>
    <w:rsid w:val="009A0557"/>
    <w:rsid w:val="009A7407"/>
    <w:rsid w:val="009C1B11"/>
    <w:rsid w:val="009C2213"/>
    <w:rsid w:val="009D08E0"/>
    <w:rsid w:val="009D18A4"/>
    <w:rsid w:val="009D2490"/>
    <w:rsid w:val="009D6991"/>
    <w:rsid w:val="009E0157"/>
    <w:rsid w:val="009E01D4"/>
    <w:rsid w:val="009E1854"/>
    <w:rsid w:val="009E2026"/>
    <w:rsid w:val="009E2A87"/>
    <w:rsid w:val="009E5C83"/>
    <w:rsid w:val="009E5E1D"/>
    <w:rsid w:val="009F402A"/>
    <w:rsid w:val="009F551E"/>
    <w:rsid w:val="00A028E5"/>
    <w:rsid w:val="00A03605"/>
    <w:rsid w:val="00A10C18"/>
    <w:rsid w:val="00A17213"/>
    <w:rsid w:val="00A2305F"/>
    <w:rsid w:val="00A27679"/>
    <w:rsid w:val="00A32519"/>
    <w:rsid w:val="00A33965"/>
    <w:rsid w:val="00A34289"/>
    <w:rsid w:val="00A37F39"/>
    <w:rsid w:val="00A40DD2"/>
    <w:rsid w:val="00A50440"/>
    <w:rsid w:val="00A51026"/>
    <w:rsid w:val="00A51B39"/>
    <w:rsid w:val="00A539D0"/>
    <w:rsid w:val="00A53D40"/>
    <w:rsid w:val="00A54B98"/>
    <w:rsid w:val="00A560EA"/>
    <w:rsid w:val="00A61465"/>
    <w:rsid w:val="00A638CA"/>
    <w:rsid w:val="00A757E0"/>
    <w:rsid w:val="00A766D2"/>
    <w:rsid w:val="00A77008"/>
    <w:rsid w:val="00A7769A"/>
    <w:rsid w:val="00A826AA"/>
    <w:rsid w:val="00A84323"/>
    <w:rsid w:val="00A90E99"/>
    <w:rsid w:val="00AA06B8"/>
    <w:rsid w:val="00AA0AC1"/>
    <w:rsid w:val="00AA0C94"/>
    <w:rsid w:val="00AA3925"/>
    <w:rsid w:val="00AA4430"/>
    <w:rsid w:val="00AA4F38"/>
    <w:rsid w:val="00AA67D1"/>
    <w:rsid w:val="00AB2EFE"/>
    <w:rsid w:val="00AB35E1"/>
    <w:rsid w:val="00AB494D"/>
    <w:rsid w:val="00AB5094"/>
    <w:rsid w:val="00AB53EF"/>
    <w:rsid w:val="00AC12B6"/>
    <w:rsid w:val="00AC21D2"/>
    <w:rsid w:val="00AC3F69"/>
    <w:rsid w:val="00AD207E"/>
    <w:rsid w:val="00AD47D5"/>
    <w:rsid w:val="00AD6223"/>
    <w:rsid w:val="00AE0017"/>
    <w:rsid w:val="00AE252A"/>
    <w:rsid w:val="00AE4212"/>
    <w:rsid w:val="00AE77C7"/>
    <w:rsid w:val="00AF0C65"/>
    <w:rsid w:val="00AF1558"/>
    <w:rsid w:val="00AF5973"/>
    <w:rsid w:val="00AF615E"/>
    <w:rsid w:val="00AF7524"/>
    <w:rsid w:val="00B0406B"/>
    <w:rsid w:val="00B0601E"/>
    <w:rsid w:val="00B074A7"/>
    <w:rsid w:val="00B10FF4"/>
    <w:rsid w:val="00B12E77"/>
    <w:rsid w:val="00B14EBD"/>
    <w:rsid w:val="00B17390"/>
    <w:rsid w:val="00B25653"/>
    <w:rsid w:val="00B27545"/>
    <w:rsid w:val="00B311F2"/>
    <w:rsid w:val="00B34C1B"/>
    <w:rsid w:val="00B34C68"/>
    <w:rsid w:val="00B37126"/>
    <w:rsid w:val="00B42E6D"/>
    <w:rsid w:val="00B446D8"/>
    <w:rsid w:val="00B50B70"/>
    <w:rsid w:val="00B52267"/>
    <w:rsid w:val="00B640A8"/>
    <w:rsid w:val="00B66797"/>
    <w:rsid w:val="00B70A3B"/>
    <w:rsid w:val="00B7293F"/>
    <w:rsid w:val="00B8618E"/>
    <w:rsid w:val="00B8687C"/>
    <w:rsid w:val="00B906D8"/>
    <w:rsid w:val="00B91588"/>
    <w:rsid w:val="00B93ABE"/>
    <w:rsid w:val="00B947FE"/>
    <w:rsid w:val="00B94F13"/>
    <w:rsid w:val="00BA265F"/>
    <w:rsid w:val="00BA2F10"/>
    <w:rsid w:val="00BA680C"/>
    <w:rsid w:val="00BB324A"/>
    <w:rsid w:val="00BB4750"/>
    <w:rsid w:val="00BB5C04"/>
    <w:rsid w:val="00BB5D66"/>
    <w:rsid w:val="00BB619C"/>
    <w:rsid w:val="00BB7091"/>
    <w:rsid w:val="00BC31D8"/>
    <w:rsid w:val="00BC5A0B"/>
    <w:rsid w:val="00BC5A20"/>
    <w:rsid w:val="00BC7421"/>
    <w:rsid w:val="00BC7F22"/>
    <w:rsid w:val="00BD5BE7"/>
    <w:rsid w:val="00BE3B7E"/>
    <w:rsid w:val="00BE7450"/>
    <w:rsid w:val="00BF326B"/>
    <w:rsid w:val="00BF4BBB"/>
    <w:rsid w:val="00BF6A05"/>
    <w:rsid w:val="00C00745"/>
    <w:rsid w:val="00C038A3"/>
    <w:rsid w:val="00C04C10"/>
    <w:rsid w:val="00C121B4"/>
    <w:rsid w:val="00C20427"/>
    <w:rsid w:val="00C20E11"/>
    <w:rsid w:val="00C228BB"/>
    <w:rsid w:val="00C302F7"/>
    <w:rsid w:val="00C34238"/>
    <w:rsid w:val="00C347D2"/>
    <w:rsid w:val="00C36D6C"/>
    <w:rsid w:val="00C37F71"/>
    <w:rsid w:val="00C46520"/>
    <w:rsid w:val="00C505DF"/>
    <w:rsid w:val="00C524FC"/>
    <w:rsid w:val="00C56E3E"/>
    <w:rsid w:val="00C61DED"/>
    <w:rsid w:val="00C85CF5"/>
    <w:rsid w:val="00C90DD1"/>
    <w:rsid w:val="00C9108F"/>
    <w:rsid w:val="00C959E0"/>
    <w:rsid w:val="00C970E4"/>
    <w:rsid w:val="00C97831"/>
    <w:rsid w:val="00CA0CAC"/>
    <w:rsid w:val="00CA13BB"/>
    <w:rsid w:val="00CA2CD6"/>
    <w:rsid w:val="00CA75E7"/>
    <w:rsid w:val="00CB213B"/>
    <w:rsid w:val="00CB375B"/>
    <w:rsid w:val="00CD30DC"/>
    <w:rsid w:val="00CD35EE"/>
    <w:rsid w:val="00CE508C"/>
    <w:rsid w:val="00CE7DF3"/>
    <w:rsid w:val="00CF00F3"/>
    <w:rsid w:val="00CF2314"/>
    <w:rsid w:val="00CF2A2B"/>
    <w:rsid w:val="00CF5126"/>
    <w:rsid w:val="00D00A3A"/>
    <w:rsid w:val="00D0148F"/>
    <w:rsid w:val="00D04319"/>
    <w:rsid w:val="00D06647"/>
    <w:rsid w:val="00D14763"/>
    <w:rsid w:val="00D17C83"/>
    <w:rsid w:val="00D20E81"/>
    <w:rsid w:val="00D2452D"/>
    <w:rsid w:val="00D24834"/>
    <w:rsid w:val="00D25031"/>
    <w:rsid w:val="00D333B7"/>
    <w:rsid w:val="00D34FF2"/>
    <w:rsid w:val="00D46FE4"/>
    <w:rsid w:val="00D55387"/>
    <w:rsid w:val="00D57AFA"/>
    <w:rsid w:val="00D6148D"/>
    <w:rsid w:val="00D77F15"/>
    <w:rsid w:val="00D80C48"/>
    <w:rsid w:val="00D825EC"/>
    <w:rsid w:val="00D90E43"/>
    <w:rsid w:val="00D91677"/>
    <w:rsid w:val="00DA41A6"/>
    <w:rsid w:val="00DB100E"/>
    <w:rsid w:val="00DB23E6"/>
    <w:rsid w:val="00DC1797"/>
    <w:rsid w:val="00DC245A"/>
    <w:rsid w:val="00DD0C95"/>
    <w:rsid w:val="00DE72D9"/>
    <w:rsid w:val="00DF1F26"/>
    <w:rsid w:val="00DF51E1"/>
    <w:rsid w:val="00DF6CB6"/>
    <w:rsid w:val="00E028C1"/>
    <w:rsid w:val="00E048A2"/>
    <w:rsid w:val="00E05020"/>
    <w:rsid w:val="00E13D32"/>
    <w:rsid w:val="00E13FC3"/>
    <w:rsid w:val="00E207E5"/>
    <w:rsid w:val="00E2097C"/>
    <w:rsid w:val="00E217F0"/>
    <w:rsid w:val="00E233CA"/>
    <w:rsid w:val="00E251E7"/>
    <w:rsid w:val="00E3581C"/>
    <w:rsid w:val="00E5220A"/>
    <w:rsid w:val="00E619F3"/>
    <w:rsid w:val="00E62DAE"/>
    <w:rsid w:val="00E64635"/>
    <w:rsid w:val="00E65D03"/>
    <w:rsid w:val="00E66ACD"/>
    <w:rsid w:val="00E83876"/>
    <w:rsid w:val="00E84446"/>
    <w:rsid w:val="00E933FA"/>
    <w:rsid w:val="00EA162B"/>
    <w:rsid w:val="00EB30B9"/>
    <w:rsid w:val="00EB480B"/>
    <w:rsid w:val="00EB5395"/>
    <w:rsid w:val="00EB74AD"/>
    <w:rsid w:val="00EC14AB"/>
    <w:rsid w:val="00EC1BA1"/>
    <w:rsid w:val="00EC1CA8"/>
    <w:rsid w:val="00EC3E90"/>
    <w:rsid w:val="00EC4805"/>
    <w:rsid w:val="00ED1BE5"/>
    <w:rsid w:val="00ED3BDB"/>
    <w:rsid w:val="00ED5941"/>
    <w:rsid w:val="00ED7930"/>
    <w:rsid w:val="00EE2FA8"/>
    <w:rsid w:val="00EE3796"/>
    <w:rsid w:val="00EE4F3A"/>
    <w:rsid w:val="00EF35AE"/>
    <w:rsid w:val="00EF48FE"/>
    <w:rsid w:val="00EF5759"/>
    <w:rsid w:val="00EF63CE"/>
    <w:rsid w:val="00F0756F"/>
    <w:rsid w:val="00F113DA"/>
    <w:rsid w:val="00F136CF"/>
    <w:rsid w:val="00F23AC9"/>
    <w:rsid w:val="00F2538B"/>
    <w:rsid w:val="00F27836"/>
    <w:rsid w:val="00F3068B"/>
    <w:rsid w:val="00F35D75"/>
    <w:rsid w:val="00F40011"/>
    <w:rsid w:val="00F40AB9"/>
    <w:rsid w:val="00F40B61"/>
    <w:rsid w:val="00F474A3"/>
    <w:rsid w:val="00F51727"/>
    <w:rsid w:val="00F51F4B"/>
    <w:rsid w:val="00F53A60"/>
    <w:rsid w:val="00F53F65"/>
    <w:rsid w:val="00F55F23"/>
    <w:rsid w:val="00F571FF"/>
    <w:rsid w:val="00F61B78"/>
    <w:rsid w:val="00F646F7"/>
    <w:rsid w:val="00F64A2F"/>
    <w:rsid w:val="00F67105"/>
    <w:rsid w:val="00F74F42"/>
    <w:rsid w:val="00F8059F"/>
    <w:rsid w:val="00F82F7B"/>
    <w:rsid w:val="00F8784B"/>
    <w:rsid w:val="00F93CD5"/>
    <w:rsid w:val="00F93DE6"/>
    <w:rsid w:val="00F971CB"/>
    <w:rsid w:val="00F975BB"/>
    <w:rsid w:val="00FA23F6"/>
    <w:rsid w:val="00FA2D15"/>
    <w:rsid w:val="00FA35A3"/>
    <w:rsid w:val="00FB1FC8"/>
    <w:rsid w:val="00FB4E53"/>
    <w:rsid w:val="00FB6D5A"/>
    <w:rsid w:val="00FB715A"/>
    <w:rsid w:val="00FB73FF"/>
    <w:rsid w:val="00FC23E9"/>
    <w:rsid w:val="00FC390B"/>
    <w:rsid w:val="00FC7F9C"/>
    <w:rsid w:val="00FD3CDA"/>
    <w:rsid w:val="00FE0346"/>
    <w:rsid w:val="00FE13CC"/>
    <w:rsid w:val="00FE367C"/>
    <w:rsid w:val="00FE6493"/>
    <w:rsid w:val="00FE654D"/>
    <w:rsid w:val="00FF018D"/>
    <w:rsid w:val="00FF1501"/>
    <w:rsid w:val="00FF1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346"/>
    <w:rPr>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ind w:left="1049" w:hanging="1049"/>
      <w:outlineLvl w:val="3"/>
    </w:pPr>
    <w:rPr>
      <w:b/>
      <w:sz w:val="24"/>
    </w:rPr>
  </w:style>
  <w:style w:type="paragraph" w:styleId="Heading5">
    <w:name w:val="heading 5"/>
    <w:basedOn w:val="Normal"/>
    <w:next w:val="Normal"/>
    <w:qFormat/>
    <w:pPr>
      <w:keepNext/>
      <w:ind w:firstLine="1077"/>
      <w:outlineLvl w:val="4"/>
    </w:pPr>
    <w:rPr>
      <w:b/>
      <w:sz w:val="24"/>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Title">
    <w:name w:val="Title"/>
    <w:basedOn w:val="Heading1"/>
    <w:qFormat/>
    <w:pPr>
      <w:keepNext w:val="0"/>
      <w:spacing w:before="0" w:after="0"/>
      <w:outlineLvl w:val="9"/>
    </w:pPr>
    <w:rPr>
      <w:rFonts w:ascii="Helvetica-Narrow" w:hAnsi="Helvetica-Narrow"/>
      <w:kern w:val="0"/>
      <w:sz w:val="24"/>
      <w:lang w:val="en-AU"/>
    </w:rPr>
  </w:style>
  <w:style w:type="paragraph" w:styleId="FootnoteText">
    <w:name w:val="footnote text"/>
    <w:basedOn w:val="Normal"/>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Subtitle">
    <w:name w:val="Subtitle"/>
    <w:basedOn w:val="Normal"/>
    <w:qFormat/>
    <w:pPr>
      <w:jc w:val="center"/>
    </w:pPr>
    <w:rPr>
      <w:b/>
      <w:bCs/>
      <w:sz w:val="36"/>
    </w:rPr>
  </w:style>
  <w:style w:type="paragraph" w:styleId="BodyText">
    <w:name w:val="Body Text"/>
    <w:basedOn w:val="Normal"/>
    <w:pPr>
      <w:overflowPunct w:val="0"/>
      <w:autoSpaceDE w:val="0"/>
      <w:autoSpaceDN w:val="0"/>
      <w:adjustRightInd w:val="0"/>
      <w:jc w:val="both"/>
      <w:textAlignment w:val="baseline"/>
    </w:pPr>
    <w:rPr>
      <w:sz w:val="26"/>
    </w:rPr>
  </w:style>
  <w:style w:type="paragraph" w:styleId="BodyText2">
    <w:name w:val="Body Text 2"/>
    <w:basedOn w:val="Normal"/>
    <w:pPr>
      <w:overflowPunct w:val="0"/>
      <w:autoSpaceDE w:val="0"/>
      <w:autoSpaceDN w:val="0"/>
      <w:adjustRightInd w:val="0"/>
      <w:textAlignment w:val="baseline"/>
    </w:pPr>
    <w:rPr>
      <w:b/>
      <w:bCs/>
      <w:sz w:val="26"/>
    </w:rPr>
  </w:style>
  <w:style w:type="paragraph" w:customStyle="1" w:styleId="BodyTextBulletPoint">
    <w:name w:val="Body Text Bullet Point"/>
    <w:basedOn w:val="BodyText"/>
    <w:pPr>
      <w:numPr>
        <w:numId w:val="1"/>
      </w:numPr>
      <w:overflowPunct/>
      <w:autoSpaceDE/>
      <w:autoSpaceDN/>
      <w:adjustRightInd/>
      <w:spacing w:before="240"/>
      <w:jc w:val="left"/>
      <w:textAlignment w:val="auto"/>
    </w:pPr>
    <w:rPr>
      <w:bCs/>
      <w:sz w:val="24"/>
      <w:lang w:val="en-AU"/>
    </w:rPr>
  </w:style>
  <w:style w:type="table" w:styleId="TableGrid">
    <w:name w:val="Table Grid"/>
    <w:basedOn w:val="TableNormal"/>
    <w:rsid w:val="00702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6D81"/>
    <w:rPr>
      <w:rFonts w:ascii="Tahoma" w:hAnsi="Tahoma" w:cs="Tahoma"/>
      <w:sz w:val="16"/>
      <w:szCs w:val="16"/>
    </w:rPr>
  </w:style>
  <w:style w:type="character" w:styleId="Hyperlink">
    <w:name w:val="Hyperlink"/>
    <w:basedOn w:val="DefaultParagraphFont"/>
    <w:rsid w:val="00806D81"/>
    <w:rPr>
      <w:color w:val="0000FF"/>
      <w:u w:val="single"/>
    </w:rPr>
  </w:style>
  <w:style w:type="character" w:styleId="FollowedHyperlink">
    <w:name w:val="FollowedHyperlink"/>
    <w:basedOn w:val="DefaultParagraphFont"/>
    <w:rsid w:val="005C5116"/>
    <w:rPr>
      <w:color w:val="606420"/>
      <w:u w:val="single"/>
    </w:rPr>
  </w:style>
  <w:style w:type="paragraph" w:styleId="ListParagraph">
    <w:name w:val="List Paragraph"/>
    <w:basedOn w:val="Normal"/>
    <w:uiPriority w:val="34"/>
    <w:qFormat/>
    <w:rsid w:val="00855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346"/>
    <w:rPr>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ind w:left="1049" w:hanging="1049"/>
      <w:outlineLvl w:val="3"/>
    </w:pPr>
    <w:rPr>
      <w:b/>
      <w:sz w:val="24"/>
    </w:rPr>
  </w:style>
  <w:style w:type="paragraph" w:styleId="Heading5">
    <w:name w:val="heading 5"/>
    <w:basedOn w:val="Normal"/>
    <w:next w:val="Normal"/>
    <w:qFormat/>
    <w:pPr>
      <w:keepNext/>
      <w:ind w:firstLine="1077"/>
      <w:outlineLvl w:val="4"/>
    </w:pPr>
    <w:rPr>
      <w:b/>
      <w:sz w:val="24"/>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Title">
    <w:name w:val="Title"/>
    <w:basedOn w:val="Heading1"/>
    <w:qFormat/>
    <w:pPr>
      <w:keepNext w:val="0"/>
      <w:spacing w:before="0" w:after="0"/>
      <w:outlineLvl w:val="9"/>
    </w:pPr>
    <w:rPr>
      <w:rFonts w:ascii="Helvetica-Narrow" w:hAnsi="Helvetica-Narrow"/>
      <w:kern w:val="0"/>
      <w:sz w:val="24"/>
      <w:lang w:val="en-AU"/>
    </w:rPr>
  </w:style>
  <w:style w:type="paragraph" w:styleId="FootnoteText">
    <w:name w:val="footnote text"/>
    <w:basedOn w:val="Normal"/>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Subtitle">
    <w:name w:val="Subtitle"/>
    <w:basedOn w:val="Normal"/>
    <w:qFormat/>
    <w:pPr>
      <w:jc w:val="center"/>
    </w:pPr>
    <w:rPr>
      <w:b/>
      <w:bCs/>
      <w:sz w:val="36"/>
    </w:rPr>
  </w:style>
  <w:style w:type="paragraph" w:styleId="BodyText">
    <w:name w:val="Body Text"/>
    <w:basedOn w:val="Normal"/>
    <w:pPr>
      <w:overflowPunct w:val="0"/>
      <w:autoSpaceDE w:val="0"/>
      <w:autoSpaceDN w:val="0"/>
      <w:adjustRightInd w:val="0"/>
      <w:jc w:val="both"/>
      <w:textAlignment w:val="baseline"/>
    </w:pPr>
    <w:rPr>
      <w:sz w:val="26"/>
    </w:rPr>
  </w:style>
  <w:style w:type="paragraph" w:styleId="BodyText2">
    <w:name w:val="Body Text 2"/>
    <w:basedOn w:val="Normal"/>
    <w:pPr>
      <w:overflowPunct w:val="0"/>
      <w:autoSpaceDE w:val="0"/>
      <w:autoSpaceDN w:val="0"/>
      <w:adjustRightInd w:val="0"/>
      <w:textAlignment w:val="baseline"/>
    </w:pPr>
    <w:rPr>
      <w:b/>
      <w:bCs/>
      <w:sz w:val="26"/>
    </w:rPr>
  </w:style>
  <w:style w:type="paragraph" w:customStyle="1" w:styleId="BodyTextBulletPoint">
    <w:name w:val="Body Text Bullet Point"/>
    <w:basedOn w:val="BodyText"/>
    <w:pPr>
      <w:numPr>
        <w:numId w:val="1"/>
      </w:numPr>
      <w:overflowPunct/>
      <w:autoSpaceDE/>
      <w:autoSpaceDN/>
      <w:adjustRightInd/>
      <w:spacing w:before="240"/>
      <w:jc w:val="left"/>
      <w:textAlignment w:val="auto"/>
    </w:pPr>
    <w:rPr>
      <w:bCs/>
      <w:sz w:val="24"/>
      <w:lang w:val="en-AU"/>
    </w:rPr>
  </w:style>
  <w:style w:type="table" w:styleId="TableGrid">
    <w:name w:val="Table Grid"/>
    <w:basedOn w:val="TableNormal"/>
    <w:rsid w:val="00702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6D81"/>
    <w:rPr>
      <w:rFonts w:ascii="Tahoma" w:hAnsi="Tahoma" w:cs="Tahoma"/>
      <w:sz w:val="16"/>
      <w:szCs w:val="16"/>
    </w:rPr>
  </w:style>
  <w:style w:type="character" w:styleId="Hyperlink">
    <w:name w:val="Hyperlink"/>
    <w:basedOn w:val="DefaultParagraphFont"/>
    <w:rsid w:val="00806D81"/>
    <w:rPr>
      <w:color w:val="0000FF"/>
      <w:u w:val="single"/>
    </w:rPr>
  </w:style>
  <w:style w:type="character" w:styleId="FollowedHyperlink">
    <w:name w:val="FollowedHyperlink"/>
    <w:basedOn w:val="DefaultParagraphFont"/>
    <w:rsid w:val="005C5116"/>
    <w:rPr>
      <w:color w:val="606420"/>
      <w:u w:val="single"/>
    </w:rPr>
  </w:style>
  <w:style w:type="paragraph" w:styleId="ListParagraph">
    <w:name w:val="List Paragraph"/>
    <w:basedOn w:val="Normal"/>
    <w:uiPriority w:val="34"/>
    <w:qFormat/>
    <w:rsid w:val="0085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990">
      <w:bodyDiv w:val="1"/>
      <w:marLeft w:val="0"/>
      <w:marRight w:val="0"/>
      <w:marTop w:val="0"/>
      <w:marBottom w:val="0"/>
      <w:divBdr>
        <w:top w:val="none" w:sz="0" w:space="0" w:color="auto"/>
        <w:left w:val="none" w:sz="0" w:space="0" w:color="auto"/>
        <w:bottom w:val="none" w:sz="0" w:space="0" w:color="auto"/>
        <w:right w:val="none" w:sz="0" w:space="0" w:color="auto"/>
      </w:divBdr>
    </w:div>
    <w:div w:id="8146498">
      <w:bodyDiv w:val="1"/>
      <w:marLeft w:val="0"/>
      <w:marRight w:val="0"/>
      <w:marTop w:val="0"/>
      <w:marBottom w:val="0"/>
      <w:divBdr>
        <w:top w:val="none" w:sz="0" w:space="0" w:color="auto"/>
        <w:left w:val="none" w:sz="0" w:space="0" w:color="auto"/>
        <w:bottom w:val="none" w:sz="0" w:space="0" w:color="auto"/>
        <w:right w:val="none" w:sz="0" w:space="0" w:color="auto"/>
      </w:divBdr>
    </w:div>
    <w:div w:id="9451788">
      <w:bodyDiv w:val="1"/>
      <w:marLeft w:val="0"/>
      <w:marRight w:val="0"/>
      <w:marTop w:val="0"/>
      <w:marBottom w:val="0"/>
      <w:divBdr>
        <w:top w:val="none" w:sz="0" w:space="0" w:color="auto"/>
        <w:left w:val="none" w:sz="0" w:space="0" w:color="auto"/>
        <w:bottom w:val="none" w:sz="0" w:space="0" w:color="auto"/>
        <w:right w:val="none" w:sz="0" w:space="0" w:color="auto"/>
      </w:divBdr>
    </w:div>
    <w:div w:id="9911916">
      <w:bodyDiv w:val="1"/>
      <w:marLeft w:val="0"/>
      <w:marRight w:val="0"/>
      <w:marTop w:val="0"/>
      <w:marBottom w:val="0"/>
      <w:divBdr>
        <w:top w:val="none" w:sz="0" w:space="0" w:color="auto"/>
        <w:left w:val="none" w:sz="0" w:space="0" w:color="auto"/>
        <w:bottom w:val="none" w:sz="0" w:space="0" w:color="auto"/>
        <w:right w:val="none" w:sz="0" w:space="0" w:color="auto"/>
      </w:divBdr>
    </w:div>
    <w:div w:id="15733890">
      <w:bodyDiv w:val="1"/>
      <w:marLeft w:val="0"/>
      <w:marRight w:val="0"/>
      <w:marTop w:val="0"/>
      <w:marBottom w:val="0"/>
      <w:divBdr>
        <w:top w:val="none" w:sz="0" w:space="0" w:color="auto"/>
        <w:left w:val="none" w:sz="0" w:space="0" w:color="auto"/>
        <w:bottom w:val="none" w:sz="0" w:space="0" w:color="auto"/>
        <w:right w:val="none" w:sz="0" w:space="0" w:color="auto"/>
      </w:divBdr>
    </w:div>
    <w:div w:id="24916070">
      <w:bodyDiv w:val="1"/>
      <w:marLeft w:val="0"/>
      <w:marRight w:val="0"/>
      <w:marTop w:val="0"/>
      <w:marBottom w:val="0"/>
      <w:divBdr>
        <w:top w:val="none" w:sz="0" w:space="0" w:color="auto"/>
        <w:left w:val="none" w:sz="0" w:space="0" w:color="auto"/>
        <w:bottom w:val="none" w:sz="0" w:space="0" w:color="auto"/>
        <w:right w:val="none" w:sz="0" w:space="0" w:color="auto"/>
      </w:divBdr>
    </w:div>
    <w:div w:id="25181060">
      <w:bodyDiv w:val="1"/>
      <w:marLeft w:val="0"/>
      <w:marRight w:val="0"/>
      <w:marTop w:val="0"/>
      <w:marBottom w:val="0"/>
      <w:divBdr>
        <w:top w:val="none" w:sz="0" w:space="0" w:color="auto"/>
        <w:left w:val="none" w:sz="0" w:space="0" w:color="auto"/>
        <w:bottom w:val="none" w:sz="0" w:space="0" w:color="auto"/>
        <w:right w:val="none" w:sz="0" w:space="0" w:color="auto"/>
      </w:divBdr>
    </w:div>
    <w:div w:id="36784503">
      <w:bodyDiv w:val="1"/>
      <w:marLeft w:val="0"/>
      <w:marRight w:val="0"/>
      <w:marTop w:val="0"/>
      <w:marBottom w:val="0"/>
      <w:divBdr>
        <w:top w:val="none" w:sz="0" w:space="0" w:color="auto"/>
        <w:left w:val="none" w:sz="0" w:space="0" w:color="auto"/>
        <w:bottom w:val="none" w:sz="0" w:space="0" w:color="auto"/>
        <w:right w:val="none" w:sz="0" w:space="0" w:color="auto"/>
      </w:divBdr>
    </w:div>
    <w:div w:id="48380909">
      <w:bodyDiv w:val="1"/>
      <w:marLeft w:val="0"/>
      <w:marRight w:val="0"/>
      <w:marTop w:val="0"/>
      <w:marBottom w:val="0"/>
      <w:divBdr>
        <w:top w:val="none" w:sz="0" w:space="0" w:color="auto"/>
        <w:left w:val="none" w:sz="0" w:space="0" w:color="auto"/>
        <w:bottom w:val="none" w:sz="0" w:space="0" w:color="auto"/>
        <w:right w:val="none" w:sz="0" w:space="0" w:color="auto"/>
      </w:divBdr>
    </w:div>
    <w:div w:id="74280377">
      <w:bodyDiv w:val="1"/>
      <w:marLeft w:val="0"/>
      <w:marRight w:val="0"/>
      <w:marTop w:val="0"/>
      <w:marBottom w:val="0"/>
      <w:divBdr>
        <w:top w:val="none" w:sz="0" w:space="0" w:color="auto"/>
        <w:left w:val="none" w:sz="0" w:space="0" w:color="auto"/>
        <w:bottom w:val="none" w:sz="0" w:space="0" w:color="auto"/>
        <w:right w:val="none" w:sz="0" w:space="0" w:color="auto"/>
      </w:divBdr>
    </w:div>
    <w:div w:id="164976595">
      <w:bodyDiv w:val="1"/>
      <w:marLeft w:val="0"/>
      <w:marRight w:val="0"/>
      <w:marTop w:val="0"/>
      <w:marBottom w:val="0"/>
      <w:divBdr>
        <w:top w:val="none" w:sz="0" w:space="0" w:color="auto"/>
        <w:left w:val="none" w:sz="0" w:space="0" w:color="auto"/>
        <w:bottom w:val="none" w:sz="0" w:space="0" w:color="auto"/>
        <w:right w:val="none" w:sz="0" w:space="0" w:color="auto"/>
      </w:divBdr>
    </w:div>
    <w:div w:id="171067998">
      <w:bodyDiv w:val="1"/>
      <w:marLeft w:val="0"/>
      <w:marRight w:val="0"/>
      <w:marTop w:val="0"/>
      <w:marBottom w:val="0"/>
      <w:divBdr>
        <w:top w:val="none" w:sz="0" w:space="0" w:color="auto"/>
        <w:left w:val="none" w:sz="0" w:space="0" w:color="auto"/>
        <w:bottom w:val="none" w:sz="0" w:space="0" w:color="auto"/>
        <w:right w:val="none" w:sz="0" w:space="0" w:color="auto"/>
      </w:divBdr>
    </w:div>
    <w:div w:id="172375693">
      <w:bodyDiv w:val="1"/>
      <w:marLeft w:val="0"/>
      <w:marRight w:val="0"/>
      <w:marTop w:val="0"/>
      <w:marBottom w:val="0"/>
      <w:divBdr>
        <w:top w:val="none" w:sz="0" w:space="0" w:color="auto"/>
        <w:left w:val="none" w:sz="0" w:space="0" w:color="auto"/>
        <w:bottom w:val="none" w:sz="0" w:space="0" w:color="auto"/>
        <w:right w:val="none" w:sz="0" w:space="0" w:color="auto"/>
      </w:divBdr>
    </w:div>
    <w:div w:id="234556871">
      <w:bodyDiv w:val="1"/>
      <w:marLeft w:val="0"/>
      <w:marRight w:val="0"/>
      <w:marTop w:val="0"/>
      <w:marBottom w:val="0"/>
      <w:divBdr>
        <w:top w:val="none" w:sz="0" w:space="0" w:color="auto"/>
        <w:left w:val="none" w:sz="0" w:space="0" w:color="auto"/>
        <w:bottom w:val="none" w:sz="0" w:space="0" w:color="auto"/>
        <w:right w:val="none" w:sz="0" w:space="0" w:color="auto"/>
      </w:divBdr>
    </w:div>
    <w:div w:id="241378993">
      <w:bodyDiv w:val="1"/>
      <w:marLeft w:val="0"/>
      <w:marRight w:val="0"/>
      <w:marTop w:val="0"/>
      <w:marBottom w:val="0"/>
      <w:divBdr>
        <w:top w:val="none" w:sz="0" w:space="0" w:color="auto"/>
        <w:left w:val="none" w:sz="0" w:space="0" w:color="auto"/>
        <w:bottom w:val="none" w:sz="0" w:space="0" w:color="auto"/>
        <w:right w:val="none" w:sz="0" w:space="0" w:color="auto"/>
      </w:divBdr>
    </w:div>
    <w:div w:id="255948077">
      <w:bodyDiv w:val="1"/>
      <w:marLeft w:val="0"/>
      <w:marRight w:val="0"/>
      <w:marTop w:val="0"/>
      <w:marBottom w:val="0"/>
      <w:divBdr>
        <w:top w:val="none" w:sz="0" w:space="0" w:color="auto"/>
        <w:left w:val="none" w:sz="0" w:space="0" w:color="auto"/>
        <w:bottom w:val="none" w:sz="0" w:space="0" w:color="auto"/>
        <w:right w:val="none" w:sz="0" w:space="0" w:color="auto"/>
      </w:divBdr>
    </w:div>
    <w:div w:id="265233974">
      <w:bodyDiv w:val="1"/>
      <w:marLeft w:val="0"/>
      <w:marRight w:val="0"/>
      <w:marTop w:val="0"/>
      <w:marBottom w:val="0"/>
      <w:divBdr>
        <w:top w:val="none" w:sz="0" w:space="0" w:color="auto"/>
        <w:left w:val="none" w:sz="0" w:space="0" w:color="auto"/>
        <w:bottom w:val="none" w:sz="0" w:space="0" w:color="auto"/>
        <w:right w:val="none" w:sz="0" w:space="0" w:color="auto"/>
      </w:divBdr>
    </w:div>
    <w:div w:id="278339207">
      <w:bodyDiv w:val="1"/>
      <w:marLeft w:val="0"/>
      <w:marRight w:val="0"/>
      <w:marTop w:val="0"/>
      <w:marBottom w:val="0"/>
      <w:divBdr>
        <w:top w:val="none" w:sz="0" w:space="0" w:color="auto"/>
        <w:left w:val="none" w:sz="0" w:space="0" w:color="auto"/>
        <w:bottom w:val="none" w:sz="0" w:space="0" w:color="auto"/>
        <w:right w:val="none" w:sz="0" w:space="0" w:color="auto"/>
      </w:divBdr>
    </w:div>
    <w:div w:id="288626769">
      <w:bodyDiv w:val="1"/>
      <w:marLeft w:val="0"/>
      <w:marRight w:val="0"/>
      <w:marTop w:val="0"/>
      <w:marBottom w:val="0"/>
      <w:divBdr>
        <w:top w:val="none" w:sz="0" w:space="0" w:color="auto"/>
        <w:left w:val="none" w:sz="0" w:space="0" w:color="auto"/>
        <w:bottom w:val="none" w:sz="0" w:space="0" w:color="auto"/>
        <w:right w:val="none" w:sz="0" w:space="0" w:color="auto"/>
      </w:divBdr>
    </w:div>
    <w:div w:id="312753723">
      <w:bodyDiv w:val="1"/>
      <w:marLeft w:val="0"/>
      <w:marRight w:val="0"/>
      <w:marTop w:val="0"/>
      <w:marBottom w:val="0"/>
      <w:divBdr>
        <w:top w:val="none" w:sz="0" w:space="0" w:color="auto"/>
        <w:left w:val="none" w:sz="0" w:space="0" w:color="auto"/>
        <w:bottom w:val="none" w:sz="0" w:space="0" w:color="auto"/>
        <w:right w:val="none" w:sz="0" w:space="0" w:color="auto"/>
      </w:divBdr>
    </w:div>
    <w:div w:id="318197749">
      <w:bodyDiv w:val="1"/>
      <w:marLeft w:val="0"/>
      <w:marRight w:val="0"/>
      <w:marTop w:val="0"/>
      <w:marBottom w:val="0"/>
      <w:divBdr>
        <w:top w:val="none" w:sz="0" w:space="0" w:color="auto"/>
        <w:left w:val="none" w:sz="0" w:space="0" w:color="auto"/>
        <w:bottom w:val="none" w:sz="0" w:space="0" w:color="auto"/>
        <w:right w:val="none" w:sz="0" w:space="0" w:color="auto"/>
      </w:divBdr>
    </w:div>
    <w:div w:id="333532056">
      <w:bodyDiv w:val="1"/>
      <w:marLeft w:val="0"/>
      <w:marRight w:val="0"/>
      <w:marTop w:val="0"/>
      <w:marBottom w:val="0"/>
      <w:divBdr>
        <w:top w:val="none" w:sz="0" w:space="0" w:color="auto"/>
        <w:left w:val="none" w:sz="0" w:space="0" w:color="auto"/>
        <w:bottom w:val="none" w:sz="0" w:space="0" w:color="auto"/>
        <w:right w:val="none" w:sz="0" w:space="0" w:color="auto"/>
      </w:divBdr>
    </w:div>
    <w:div w:id="350646253">
      <w:bodyDiv w:val="1"/>
      <w:marLeft w:val="0"/>
      <w:marRight w:val="0"/>
      <w:marTop w:val="0"/>
      <w:marBottom w:val="0"/>
      <w:divBdr>
        <w:top w:val="none" w:sz="0" w:space="0" w:color="auto"/>
        <w:left w:val="none" w:sz="0" w:space="0" w:color="auto"/>
        <w:bottom w:val="none" w:sz="0" w:space="0" w:color="auto"/>
        <w:right w:val="none" w:sz="0" w:space="0" w:color="auto"/>
      </w:divBdr>
    </w:div>
    <w:div w:id="388922206">
      <w:bodyDiv w:val="1"/>
      <w:marLeft w:val="0"/>
      <w:marRight w:val="0"/>
      <w:marTop w:val="0"/>
      <w:marBottom w:val="0"/>
      <w:divBdr>
        <w:top w:val="none" w:sz="0" w:space="0" w:color="auto"/>
        <w:left w:val="none" w:sz="0" w:space="0" w:color="auto"/>
        <w:bottom w:val="none" w:sz="0" w:space="0" w:color="auto"/>
        <w:right w:val="none" w:sz="0" w:space="0" w:color="auto"/>
      </w:divBdr>
    </w:div>
    <w:div w:id="400952475">
      <w:bodyDiv w:val="1"/>
      <w:marLeft w:val="0"/>
      <w:marRight w:val="0"/>
      <w:marTop w:val="0"/>
      <w:marBottom w:val="0"/>
      <w:divBdr>
        <w:top w:val="none" w:sz="0" w:space="0" w:color="auto"/>
        <w:left w:val="none" w:sz="0" w:space="0" w:color="auto"/>
        <w:bottom w:val="none" w:sz="0" w:space="0" w:color="auto"/>
        <w:right w:val="none" w:sz="0" w:space="0" w:color="auto"/>
      </w:divBdr>
    </w:div>
    <w:div w:id="403185494">
      <w:bodyDiv w:val="1"/>
      <w:marLeft w:val="0"/>
      <w:marRight w:val="0"/>
      <w:marTop w:val="0"/>
      <w:marBottom w:val="0"/>
      <w:divBdr>
        <w:top w:val="none" w:sz="0" w:space="0" w:color="auto"/>
        <w:left w:val="none" w:sz="0" w:space="0" w:color="auto"/>
        <w:bottom w:val="none" w:sz="0" w:space="0" w:color="auto"/>
        <w:right w:val="none" w:sz="0" w:space="0" w:color="auto"/>
      </w:divBdr>
    </w:div>
    <w:div w:id="412818238">
      <w:bodyDiv w:val="1"/>
      <w:marLeft w:val="0"/>
      <w:marRight w:val="0"/>
      <w:marTop w:val="0"/>
      <w:marBottom w:val="0"/>
      <w:divBdr>
        <w:top w:val="none" w:sz="0" w:space="0" w:color="auto"/>
        <w:left w:val="none" w:sz="0" w:space="0" w:color="auto"/>
        <w:bottom w:val="none" w:sz="0" w:space="0" w:color="auto"/>
        <w:right w:val="none" w:sz="0" w:space="0" w:color="auto"/>
      </w:divBdr>
    </w:div>
    <w:div w:id="414400966">
      <w:bodyDiv w:val="1"/>
      <w:marLeft w:val="0"/>
      <w:marRight w:val="0"/>
      <w:marTop w:val="0"/>
      <w:marBottom w:val="0"/>
      <w:divBdr>
        <w:top w:val="none" w:sz="0" w:space="0" w:color="auto"/>
        <w:left w:val="none" w:sz="0" w:space="0" w:color="auto"/>
        <w:bottom w:val="none" w:sz="0" w:space="0" w:color="auto"/>
        <w:right w:val="none" w:sz="0" w:space="0" w:color="auto"/>
      </w:divBdr>
    </w:div>
    <w:div w:id="427971425">
      <w:bodyDiv w:val="1"/>
      <w:marLeft w:val="0"/>
      <w:marRight w:val="0"/>
      <w:marTop w:val="0"/>
      <w:marBottom w:val="0"/>
      <w:divBdr>
        <w:top w:val="none" w:sz="0" w:space="0" w:color="auto"/>
        <w:left w:val="none" w:sz="0" w:space="0" w:color="auto"/>
        <w:bottom w:val="none" w:sz="0" w:space="0" w:color="auto"/>
        <w:right w:val="none" w:sz="0" w:space="0" w:color="auto"/>
      </w:divBdr>
    </w:div>
    <w:div w:id="428745369">
      <w:bodyDiv w:val="1"/>
      <w:marLeft w:val="0"/>
      <w:marRight w:val="0"/>
      <w:marTop w:val="0"/>
      <w:marBottom w:val="0"/>
      <w:divBdr>
        <w:top w:val="none" w:sz="0" w:space="0" w:color="auto"/>
        <w:left w:val="none" w:sz="0" w:space="0" w:color="auto"/>
        <w:bottom w:val="none" w:sz="0" w:space="0" w:color="auto"/>
        <w:right w:val="none" w:sz="0" w:space="0" w:color="auto"/>
      </w:divBdr>
    </w:div>
    <w:div w:id="437481310">
      <w:bodyDiv w:val="1"/>
      <w:marLeft w:val="0"/>
      <w:marRight w:val="0"/>
      <w:marTop w:val="0"/>
      <w:marBottom w:val="0"/>
      <w:divBdr>
        <w:top w:val="none" w:sz="0" w:space="0" w:color="auto"/>
        <w:left w:val="none" w:sz="0" w:space="0" w:color="auto"/>
        <w:bottom w:val="none" w:sz="0" w:space="0" w:color="auto"/>
        <w:right w:val="none" w:sz="0" w:space="0" w:color="auto"/>
      </w:divBdr>
    </w:div>
    <w:div w:id="438181849">
      <w:bodyDiv w:val="1"/>
      <w:marLeft w:val="0"/>
      <w:marRight w:val="0"/>
      <w:marTop w:val="0"/>
      <w:marBottom w:val="0"/>
      <w:divBdr>
        <w:top w:val="none" w:sz="0" w:space="0" w:color="auto"/>
        <w:left w:val="none" w:sz="0" w:space="0" w:color="auto"/>
        <w:bottom w:val="none" w:sz="0" w:space="0" w:color="auto"/>
        <w:right w:val="none" w:sz="0" w:space="0" w:color="auto"/>
      </w:divBdr>
    </w:div>
    <w:div w:id="440488875">
      <w:bodyDiv w:val="1"/>
      <w:marLeft w:val="0"/>
      <w:marRight w:val="0"/>
      <w:marTop w:val="0"/>
      <w:marBottom w:val="0"/>
      <w:divBdr>
        <w:top w:val="none" w:sz="0" w:space="0" w:color="auto"/>
        <w:left w:val="none" w:sz="0" w:space="0" w:color="auto"/>
        <w:bottom w:val="none" w:sz="0" w:space="0" w:color="auto"/>
        <w:right w:val="none" w:sz="0" w:space="0" w:color="auto"/>
      </w:divBdr>
    </w:div>
    <w:div w:id="489954021">
      <w:bodyDiv w:val="1"/>
      <w:marLeft w:val="0"/>
      <w:marRight w:val="0"/>
      <w:marTop w:val="0"/>
      <w:marBottom w:val="0"/>
      <w:divBdr>
        <w:top w:val="none" w:sz="0" w:space="0" w:color="auto"/>
        <w:left w:val="none" w:sz="0" w:space="0" w:color="auto"/>
        <w:bottom w:val="none" w:sz="0" w:space="0" w:color="auto"/>
        <w:right w:val="none" w:sz="0" w:space="0" w:color="auto"/>
      </w:divBdr>
    </w:div>
    <w:div w:id="506599832">
      <w:bodyDiv w:val="1"/>
      <w:marLeft w:val="0"/>
      <w:marRight w:val="0"/>
      <w:marTop w:val="0"/>
      <w:marBottom w:val="0"/>
      <w:divBdr>
        <w:top w:val="none" w:sz="0" w:space="0" w:color="auto"/>
        <w:left w:val="none" w:sz="0" w:space="0" w:color="auto"/>
        <w:bottom w:val="none" w:sz="0" w:space="0" w:color="auto"/>
        <w:right w:val="none" w:sz="0" w:space="0" w:color="auto"/>
      </w:divBdr>
    </w:div>
    <w:div w:id="521208405">
      <w:bodyDiv w:val="1"/>
      <w:marLeft w:val="0"/>
      <w:marRight w:val="0"/>
      <w:marTop w:val="0"/>
      <w:marBottom w:val="0"/>
      <w:divBdr>
        <w:top w:val="none" w:sz="0" w:space="0" w:color="auto"/>
        <w:left w:val="none" w:sz="0" w:space="0" w:color="auto"/>
        <w:bottom w:val="none" w:sz="0" w:space="0" w:color="auto"/>
        <w:right w:val="none" w:sz="0" w:space="0" w:color="auto"/>
      </w:divBdr>
    </w:div>
    <w:div w:id="554972239">
      <w:bodyDiv w:val="1"/>
      <w:marLeft w:val="0"/>
      <w:marRight w:val="0"/>
      <w:marTop w:val="0"/>
      <w:marBottom w:val="0"/>
      <w:divBdr>
        <w:top w:val="none" w:sz="0" w:space="0" w:color="auto"/>
        <w:left w:val="none" w:sz="0" w:space="0" w:color="auto"/>
        <w:bottom w:val="none" w:sz="0" w:space="0" w:color="auto"/>
        <w:right w:val="none" w:sz="0" w:space="0" w:color="auto"/>
      </w:divBdr>
    </w:div>
    <w:div w:id="558518826">
      <w:bodyDiv w:val="1"/>
      <w:marLeft w:val="0"/>
      <w:marRight w:val="0"/>
      <w:marTop w:val="0"/>
      <w:marBottom w:val="0"/>
      <w:divBdr>
        <w:top w:val="none" w:sz="0" w:space="0" w:color="auto"/>
        <w:left w:val="none" w:sz="0" w:space="0" w:color="auto"/>
        <w:bottom w:val="none" w:sz="0" w:space="0" w:color="auto"/>
        <w:right w:val="none" w:sz="0" w:space="0" w:color="auto"/>
      </w:divBdr>
    </w:div>
    <w:div w:id="563178980">
      <w:bodyDiv w:val="1"/>
      <w:marLeft w:val="0"/>
      <w:marRight w:val="0"/>
      <w:marTop w:val="0"/>
      <w:marBottom w:val="0"/>
      <w:divBdr>
        <w:top w:val="none" w:sz="0" w:space="0" w:color="auto"/>
        <w:left w:val="none" w:sz="0" w:space="0" w:color="auto"/>
        <w:bottom w:val="none" w:sz="0" w:space="0" w:color="auto"/>
        <w:right w:val="none" w:sz="0" w:space="0" w:color="auto"/>
      </w:divBdr>
    </w:div>
    <w:div w:id="567345836">
      <w:bodyDiv w:val="1"/>
      <w:marLeft w:val="0"/>
      <w:marRight w:val="0"/>
      <w:marTop w:val="0"/>
      <w:marBottom w:val="0"/>
      <w:divBdr>
        <w:top w:val="none" w:sz="0" w:space="0" w:color="auto"/>
        <w:left w:val="none" w:sz="0" w:space="0" w:color="auto"/>
        <w:bottom w:val="none" w:sz="0" w:space="0" w:color="auto"/>
        <w:right w:val="none" w:sz="0" w:space="0" w:color="auto"/>
      </w:divBdr>
    </w:div>
    <w:div w:id="570504782">
      <w:bodyDiv w:val="1"/>
      <w:marLeft w:val="0"/>
      <w:marRight w:val="0"/>
      <w:marTop w:val="0"/>
      <w:marBottom w:val="0"/>
      <w:divBdr>
        <w:top w:val="none" w:sz="0" w:space="0" w:color="auto"/>
        <w:left w:val="none" w:sz="0" w:space="0" w:color="auto"/>
        <w:bottom w:val="none" w:sz="0" w:space="0" w:color="auto"/>
        <w:right w:val="none" w:sz="0" w:space="0" w:color="auto"/>
      </w:divBdr>
    </w:div>
    <w:div w:id="593712712">
      <w:bodyDiv w:val="1"/>
      <w:marLeft w:val="0"/>
      <w:marRight w:val="0"/>
      <w:marTop w:val="0"/>
      <w:marBottom w:val="0"/>
      <w:divBdr>
        <w:top w:val="none" w:sz="0" w:space="0" w:color="auto"/>
        <w:left w:val="none" w:sz="0" w:space="0" w:color="auto"/>
        <w:bottom w:val="none" w:sz="0" w:space="0" w:color="auto"/>
        <w:right w:val="none" w:sz="0" w:space="0" w:color="auto"/>
      </w:divBdr>
    </w:div>
    <w:div w:id="599874654">
      <w:bodyDiv w:val="1"/>
      <w:marLeft w:val="0"/>
      <w:marRight w:val="0"/>
      <w:marTop w:val="0"/>
      <w:marBottom w:val="0"/>
      <w:divBdr>
        <w:top w:val="none" w:sz="0" w:space="0" w:color="auto"/>
        <w:left w:val="none" w:sz="0" w:space="0" w:color="auto"/>
        <w:bottom w:val="none" w:sz="0" w:space="0" w:color="auto"/>
        <w:right w:val="none" w:sz="0" w:space="0" w:color="auto"/>
      </w:divBdr>
    </w:div>
    <w:div w:id="615675266">
      <w:bodyDiv w:val="1"/>
      <w:marLeft w:val="0"/>
      <w:marRight w:val="0"/>
      <w:marTop w:val="0"/>
      <w:marBottom w:val="0"/>
      <w:divBdr>
        <w:top w:val="none" w:sz="0" w:space="0" w:color="auto"/>
        <w:left w:val="none" w:sz="0" w:space="0" w:color="auto"/>
        <w:bottom w:val="none" w:sz="0" w:space="0" w:color="auto"/>
        <w:right w:val="none" w:sz="0" w:space="0" w:color="auto"/>
      </w:divBdr>
    </w:div>
    <w:div w:id="625545800">
      <w:bodyDiv w:val="1"/>
      <w:marLeft w:val="0"/>
      <w:marRight w:val="0"/>
      <w:marTop w:val="0"/>
      <w:marBottom w:val="0"/>
      <w:divBdr>
        <w:top w:val="none" w:sz="0" w:space="0" w:color="auto"/>
        <w:left w:val="none" w:sz="0" w:space="0" w:color="auto"/>
        <w:bottom w:val="none" w:sz="0" w:space="0" w:color="auto"/>
        <w:right w:val="none" w:sz="0" w:space="0" w:color="auto"/>
      </w:divBdr>
    </w:div>
    <w:div w:id="630135621">
      <w:bodyDiv w:val="1"/>
      <w:marLeft w:val="0"/>
      <w:marRight w:val="0"/>
      <w:marTop w:val="0"/>
      <w:marBottom w:val="0"/>
      <w:divBdr>
        <w:top w:val="none" w:sz="0" w:space="0" w:color="auto"/>
        <w:left w:val="none" w:sz="0" w:space="0" w:color="auto"/>
        <w:bottom w:val="none" w:sz="0" w:space="0" w:color="auto"/>
        <w:right w:val="none" w:sz="0" w:space="0" w:color="auto"/>
      </w:divBdr>
    </w:div>
    <w:div w:id="630595175">
      <w:bodyDiv w:val="1"/>
      <w:marLeft w:val="0"/>
      <w:marRight w:val="0"/>
      <w:marTop w:val="0"/>
      <w:marBottom w:val="0"/>
      <w:divBdr>
        <w:top w:val="none" w:sz="0" w:space="0" w:color="auto"/>
        <w:left w:val="none" w:sz="0" w:space="0" w:color="auto"/>
        <w:bottom w:val="none" w:sz="0" w:space="0" w:color="auto"/>
        <w:right w:val="none" w:sz="0" w:space="0" w:color="auto"/>
      </w:divBdr>
    </w:div>
    <w:div w:id="651064967">
      <w:bodyDiv w:val="1"/>
      <w:marLeft w:val="0"/>
      <w:marRight w:val="0"/>
      <w:marTop w:val="0"/>
      <w:marBottom w:val="0"/>
      <w:divBdr>
        <w:top w:val="none" w:sz="0" w:space="0" w:color="auto"/>
        <w:left w:val="none" w:sz="0" w:space="0" w:color="auto"/>
        <w:bottom w:val="none" w:sz="0" w:space="0" w:color="auto"/>
        <w:right w:val="none" w:sz="0" w:space="0" w:color="auto"/>
      </w:divBdr>
    </w:div>
    <w:div w:id="672683729">
      <w:bodyDiv w:val="1"/>
      <w:marLeft w:val="0"/>
      <w:marRight w:val="0"/>
      <w:marTop w:val="0"/>
      <w:marBottom w:val="0"/>
      <w:divBdr>
        <w:top w:val="none" w:sz="0" w:space="0" w:color="auto"/>
        <w:left w:val="none" w:sz="0" w:space="0" w:color="auto"/>
        <w:bottom w:val="none" w:sz="0" w:space="0" w:color="auto"/>
        <w:right w:val="none" w:sz="0" w:space="0" w:color="auto"/>
      </w:divBdr>
    </w:div>
    <w:div w:id="734208226">
      <w:bodyDiv w:val="1"/>
      <w:marLeft w:val="0"/>
      <w:marRight w:val="0"/>
      <w:marTop w:val="0"/>
      <w:marBottom w:val="0"/>
      <w:divBdr>
        <w:top w:val="none" w:sz="0" w:space="0" w:color="auto"/>
        <w:left w:val="none" w:sz="0" w:space="0" w:color="auto"/>
        <w:bottom w:val="none" w:sz="0" w:space="0" w:color="auto"/>
        <w:right w:val="none" w:sz="0" w:space="0" w:color="auto"/>
      </w:divBdr>
    </w:div>
    <w:div w:id="736786888">
      <w:bodyDiv w:val="1"/>
      <w:marLeft w:val="0"/>
      <w:marRight w:val="0"/>
      <w:marTop w:val="0"/>
      <w:marBottom w:val="0"/>
      <w:divBdr>
        <w:top w:val="none" w:sz="0" w:space="0" w:color="auto"/>
        <w:left w:val="none" w:sz="0" w:space="0" w:color="auto"/>
        <w:bottom w:val="none" w:sz="0" w:space="0" w:color="auto"/>
        <w:right w:val="none" w:sz="0" w:space="0" w:color="auto"/>
      </w:divBdr>
    </w:div>
    <w:div w:id="772481247">
      <w:bodyDiv w:val="1"/>
      <w:marLeft w:val="0"/>
      <w:marRight w:val="0"/>
      <w:marTop w:val="0"/>
      <w:marBottom w:val="0"/>
      <w:divBdr>
        <w:top w:val="none" w:sz="0" w:space="0" w:color="auto"/>
        <w:left w:val="none" w:sz="0" w:space="0" w:color="auto"/>
        <w:bottom w:val="none" w:sz="0" w:space="0" w:color="auto"/>
        <w:right w:val="none" w:sz="0" w:space="0" w:color="auto"/>
      </w:divBdr>
    </w:div>
    <w:div w:id="807093969">
      <w:bodyDiv w:val="1"/>
      <w:marLeft w:val="0"/>
      <w:marRight w:val="0"/>
      <w:marTop w:val="0"/>
      <w:marBottom w:val="0"/>
      <w:divBdr>
        <w:top w:val="none" w:sz="0" w:space="0" w:color="auto"/>
        <w:left w:val="none" w:sz="0" w:space="0" w:color="auto"/>
        <w:bottom w:val="none" w:sz="0" w:space="0" w:color="auto"/>
        <w:right w:val="none" w:sz="0" w:space="0" w:color="auto"/>
      </w:divBdr>
    </w:div>
    <w:div w:id="819689521">
      <w:bodyDiv w:val="1"/>
      <w:marLeft w:val="0"/>
      <w:marRight w:val="0"/>
      <w:marTop w:val="0"/>
      <w:marBottom w:val="0"/>
      <w:divBdr>
        <w:top w:val="none" w:sz="0" w:space="0" w:color="auto"/>
        <w:left w:val="none" w:sz="0" w:space="0" w:color="auto"/>
        <w:bottom w:val="none" w:sz="0" w:space="0" w:color="auto"/>
        <w:right w:val="none" w:sz="0" w:space="0" w:color="auto"/>
      </w:divBdr>
    </w:div>
    <w:div w:id="821509559">
      <w:bodyDiv w:val="1"/>
      <w:marLeft w:val="0"/>
      <w:marRight w:val="0"/>
      <w:marTop w:val="0"/>
      <w:marBottom w:val="0"/>
      <w:divBdr>
        <w:top w:val="none" w:sz="0" w:space="0" w:color="auto"/>
        <w:left w:val="none" w:sz="0" w:space="0" w:color="auto"/>
        <w:bottom w:val="none" w:sz="0" w:space="0" w:color="auto"/>
        <w:right w:val="none" w:sz="0" w:space="0" w:color="auto"/>
      </w:divBdr>
    </w:div>
    <w:div w:id="826439417">
      <w:bodyDiv w:val="1"/>
      <w:marLeft w:val="0"/>
      <w:marRight w:val="0"/>
      <w:marTop w:val="0"/>
      <w:marBottom w:val="0"/>
      <w:divBdr>
        <w:top w:val="none" w:sz="0" w:space="0" w:color="auto"/>
        <w:left w:val="none" w:sz="0" w:space="0" w:color="auto"/>
        <w:bottom w:val="none" w:sz="0" w:space="0" w:color="auto"/>
        <w:right w:val="none" w:sz="0" w:space="0" w:color="auto"/>
      </w:divBdr>
    </w:div>
    <w:div w:id="829103812">
      <w:bodyDiv w:val="1"/>
      <w:marLeft w:val="0"/>
      <w:marRight w:val="0"/>
      <w:marTop w:val="0"/>
      <w:marBottom w:val="0"/>
      <w:divBdr>
        <w:top w:val="none" w:sz="0" w:space="0" w:color="auto"/>
        <w:left w:val="none" w:sz="0" w:space="0" w:color="auto"/>
        <w:bottom w:val="none" w:sz="0" w:space="0" w:color="auto"/>
        <w:right w:val="none" w:sz="0" w:space="0" w:color="auto"/>
      </w:divBdr>
    </w:div>
    <w:div w:id="879433723">
      <w:bodyDiv w:val="1"/>
      <w:marLeft w:val="0"/>
      <w:marRight w:val="0"/>
      <w:marTop w:val="0"/>
      <w:marBottom w:val="0"/>
      <w:divBdr>
        <w:top w:val="none" w:sz="0" w:space="0" w:color="auto"/>
        <w:left w:val="none" w:sz="0" w:space="0" w:color="auto"/>
        <w:bottom w:val="none" w:sz="0" w:space="0" w:color="auto"/>
        <w:right w:val="none" w:sz="0" w:space="0" w:color="auto"/>
      </w:divBdr>
    </w:div>
    <w:div w:id="908340854">
      <w:bodyDiv w:val="1"/>
      <w:marLeft w:val="0"/>
      <w:marRight w:val="0"/>
      <w:marTop w:val="0"/>
      <w:marBottom w:val="0"/>
      <w:divBdr>
        <w:top w:val="none" w:sz="0" w:space="0" w:color="auto"/>
        <w:left w:val="none" w:sz="0" w:space="0" w:color="auto"/>
        <w:bottom w:val="none" w:sz="0" w:space="0" w:color="auto"/>
        <w:right w:val="none" w:sz="0" w:space="0" w:color="auto"/>
      </w:divBdr>
    </w:div>
    <w:div w:id="910509214">
      <w:bodyDiv w:val="1"/>
      <w:marLeft w:val="0"/>
      <w:marRight w:val="0"/>
      <w:marTop w:val="0"/>
      <w:marBottom w:val="0"/>
      <w:divBdr>
        <w:top w:val="none" w:sz="0" w:space="0" w:color="auto"/>
        <w:left w:val="none" w:sz="0" w:space="0" w:color="auto"/>
        <w:bottom w:val="none" w:sz="0" w:space="0" w:color="auto"/>
        <w:right w:val="none" w:sz="0" w:space="0" w:color="auto"/>
      </w:divBdr>
    </w:div>
    <w:div w:id="922841633">
      <w:bodyDiv w:val="1"/>
      <w:marLeft w:val="0"/>
      <w:marRight w:val="0"/>
      <w:marTop w:val="0"/>
      <w:marBottom w:val="0"/>
      <w:divBdr>
        <w:top w:val="none" w:sz="0" w:space="0" w:color="auto"/>
        <w:left w:val="none" w:sz="0" w:space="0" w:color="auto"/>
        <w:bottom w:val="none" w:sz="0" w:space="0" w:color="auto"/>
        <w:right w:val="none" w:sz="0" w:space="0" w:color="auto"/>
      </w:divBdr>
    </w:div>
    <w:div w:id="923874881">
      <w:bodyDiv w:val="1"/>
      <w:marLeft w:val="0"/>
      <w:marRight w:val="0"/>
      <w:marTop w:val="0"/>
      <w:marBottom w:val="0"/>
      <w:divBdr>
        <w:top w:val="none" w:sz="0" w:space="0" w:color="auto"/>
        <w:left w:val="none" w:sz="0" w:space="0" w:color="auto"/>
        <w:bottom w:val="none" w:sz="0" w:space="0" w:color="auto"/>
        <w:right w:val="none" w:sz="0" w:space="0" w:color="auto"/>
      </w:divBdr>
    </w:div>
    <w:div w:id="949164172">
      <w:bodyDiv w:val="1"/>
      <w:marLeft w:val="0"/>
      <w:marRight w:val="0"/>
      <w:marTop w:val="0"/>
      <w:marBottom w:val="0"/>
      <w:divBdr>
        <w:top w:val="none" w:sz="0" w:space="0" w:color="auto"/>
        <w:left w:val="none" w:sz="0" w:space="0" w:color="auto"/>
        <w:bottom w:val="none" w:sz="0" w:space="0" w:color="auto"/>
        <w:right w:val="none" w:sz="0" w:space="0" w:color="auto"/>
      </w:divBdr>
    </w:div>
    <w:div w:id="984821160">
      <w:bodyDiv w:val="1"/>
      <w:marLeft w:val="0"/>
      <w:marRight w:val="0"/>
      <w:marTop w:val="0"/>
      <w:marBottom w:val="0"/>
      <w:divBdr>
        <w:top w:val="none" w:sz="0" w:space="0" w:color="auto"/>
        <w:left w:val="none" w:sz="0" w:space="0" w:color="auto"/>
        <w:bottom w:val="none" w:sz="0" w:space="0" w:color="auto"/>
        <w:right w:val="none" w:sz="0" w:space="0" w:color="auto"/>
      </w:divBdr>
    </w:div>
    <w:div w:id="995065702">
      <w:bodyDiv w:val="1"/>
      <w:marLeft w:val="0"/>
      <w:marRight w:val="0"/>
      <w:marTop w:val="0"/>
      <w:marBottom w:val="0"/>
      <w:divBdr>
        <w:top w:val="none" w:sz="0" w:space="0" w:color="auto"/>
        <w:left w:val="none" w:sz="0" w:space="0" w:color="auto"/>
        <w:bottom w:val="none" w:sz="0" w:space="0" w:color="auto"/>
        <w:right w:val="none" w:sz="0" w:space="0" w:color="auto"/>
      </w:divBdr>
    </w:div>
    <w:div w:id="1013461955">
      <w:bodyDiv w:val="1"/>
      <w:marLeft w:val="0"/>
      <w:marRight w:val="0"/>
      <w:marTop w:val="0"/>
      <w:marBottom w:val="0"/>
      <w:divBdr>
        <w:top w:val="none" w:sz="0" w:space="0" w:color="auto"/>
        <w:left w:val="none" w:sz="0" w:space="0" w:color="auto"/>
        <w:bottom w:val="none" w:sz="0" w:space="0" w:color="auto"/>
        <w:right w:val="none" w:sz="0" w:space="0" w:color="auto"/>
      </w:divBdr>
    </w:div>
    <w:div w:id="1040008435">
      <w:bodyDiv w:val="1"/>
      <w:marLeft w:val="0"/>
      <w:marRight w:val="0"/>
      <w:marTop w:val="0"/>
      <w:marBottom w:val="0"/>
      <w:divBdr>
        <w:top w:val="none" w:sz="0" w:space="0" w:color="auto"/>
        <w:left w:val="none" w:sz="0" w:space="0" w:color="auto"/>
        <w:bottom w:val="none" w:sz="0" w:space="0" w:color="auto"/>
        <w:right w:val="none" w:sz="0" w:space="0" w:color="auto"/>
      </w:divBdr>
    </w:div>
    <w:div w:id="1055663974">
      <w:bodyDiv w:val="1"/>
      <w:marLeft w:val="0"/>
      <w:marRight w:val="0"/>
      <w:marTop w:val="0"/>
      <w:marBottom w:val="0"/>
      <w:divBdr>
        <w:top w:val="none" w:sz="0" w:space="0" w:color="auto"/>
        <w:left w:val="none" w:sz="0" w:space="0" w:color="auto"/>
        <w:bottom w:val="none" w:sz="0" w:space="0" w:color="auto"/>
        <w:right w:val="none" w:sz="0" w:space="0" w:color="auto"/>
      </w:divBdr>
    </w:div>
    <w:div w:id="1060514506">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087533103">
      <w:bodyDiv w:val="1"/>
      <w:marLeft w:val="0"/>
      <w:marRight w:val="0"/>
      <w:marTop w:val="0"/>
      <w:marBottom w:val="0"/>
      <w:divBdr>
        <w:top w:val="none" w:sz="0" w:space="0" w:color="auto"/>
        <w:left w:val="none" w:sz="0" w:space="0" w:color="auto"/>
        <w:bottom w:val="none" w:sz="0" w:space="0" w:color="auto"/>
        <w:right w:val="none" w:sz="0" w:space="0" w:color="auto"/>
      </w:divBdr>
    </w:div>
    <w:div w:id="1105805250">
      <w:bodyDiv w:val="1"/>
      <w:marLeft w:val="0"/>
      <w:marRight w:val="0"/>
      <w:marTop w:val="0"/>
      <w:marBottom w:val="0"/>
      <w:divBdr>
        <w:top w:val="none" w:sz="0" w:space="0" w:color="auto"/>
        <w:left w:val="none" w:sz="0" w:space="0" w:color="auto"/>
        <w:bottom w:val="none" w:sz="0" w:space="0" w:color="auto"/>
        <w:right w:val="none" w:sz="0" w:space="0" w:color="auto"/>
      </w:divBdr>
    </w:div>
    <w:div w:id="1111507400">
      <w:bodyDiv w:val="1"/>
      <w:marLeft w:val="0"/>
      <w:marRight w:val="0"/>
      <w:marTop w:val="0"/>
      <w:marBottom w:val="0"/>
      <w:divBdr>
        <w:top w:val="none" w:sz="0" w:space="0" w:color="auto"/>
        <w:left w:val="none" w:sz="0" w:space="0" w:color="auto"/>
        <w:bottom w:val="none" w:sz="0" w:space="0" w:color="auto"/>
        <w:right w:val="none" w:sz="0" w:space="0" w:color="auto"/>
      </w:divBdr>
    </w:div>
    <w:div w:id="1127357260">
      <w:bodyDiv w:val="1"/>
      <w:marLeft w:val="0"/>
      <w:marRight w:val="0"/>
      <w:marTop w:val="0"/>
      <w:marBottom w:val="0"/>
      <w:divBdr>
        <w:top w:val="none" w:sz="0" w:space="0" w:color="auto"/>
        <w:left w:val="none" w:sz="0" w:space="0" w:color="auto"/>
        <w:bottom w:val="none" w:sz="0" w:space="0" w:color="auto"/>
        <w:right w:val="none" w:sz="0" w:space="0" w:color="auto"/>
      </w:divBdr>
    </w:div>
    <w:div w:id="1132794913">
      <w:bodyDiv w:val="1"/>
      <w:marLeft w:val="0"/>
      <w:marRight w:val="0"/>
      <w:marTop w:val="0"/>
      <w:marBottom w:val="0"/>
      <w:divBdr>
        <w:top w:val="none" w:sz="0" w:space="0" w:color="auto"/>
        <w:left w:val="none" w:sz="0" w:space="0" w:color="auto"/>
        <w:bottom w:val="none" w:sz="0" w:space="0" w:color="auto"/>
        <w:right w:val="none" w:sz="0" w:space="0" w:color="auto"/>
      </w:divBdr>
    </w:div>
    <w:div w:id="1152019415">
      <w:bodyDiv w:val="1"/>
      <w:marLeft w:val="0"/>
      <w:marRight w:val="0"/>
      <w:marTop w:val="0"/>
      <w:marBottom w:val="0"/>
      <w:divBdr>
        <w:top w:val="none" w:sz="0" w:space="0" w:color="auto"/>
        <w:left w:val="none" w:sz="0" w:space="0" w:color="auto"/>
        <w:bottom w:val="none" w:sz="0" w:space="0" w:color="auto"/>
        <w:right w:val="none" w:sz="0" w:space="0" w:color="auto"/>
      </w:divBdr>
    </w:div>
    <w:div w:id="1157377748">
      <w:bodyDiv w:val="1"/>
      <w:marLeft w:val="0"/>
      <w:marRight w:val="0"/>
      <w:marTop w:val="0"/>
      <w:marBottom w:val="0"/>
      <w:divBdr>
        <w:top w:val="none" w:sz="0" w:space="0" w:color="auto"/>
        <w:left w:val="none" w:sz="0" w:space="0" w:color="auto"/>
        <w:bottom w:val="none" w:sz="0" w:space="0" w:color="auto"/>
        <w:right w:val="none" w:sz="0" w:space="0" w:color="auto"/>
      </w:divBdr>
    </w:div>
    <w:div w:id="1174300202">
      <w:bodyDiv w:val="1"/>
      <w:marLeft w:val="0"/>
      <w:marRight w:val="0"/>
      <w:marTop w:val="0"/>
      <w:marBottom w:val="0"/>
      <w:divBdr>
        <w:top w:val="none" w:sz="0" w:space="0" w:color="auto"/>
        <w:left w:val="none" w:sz="0" w:space="0" w:color="auto"/>
        <w:bottom w:val="none" w:sz="0" w:space="0" w:color="auto"/>
        <w:right w:val="none" w:sz="0" w:space="0" w:color="auto"/>
      </w:divBdr>
    </w:div>
    <w:div w:id="1195583950">
      <w:bodyDiv w:val="1"/>
      <w:marLeft w:val="0"/>
      <w:marRight w:val="0"/>
      <w:marTop w:val="0"/>
      <w:marBottom w:val="0"/>
      <w:divBdr>
        <w:top w:val="none" w:sz="0" w:space="0" w:color="auto"/>
        <w:left w:val="none" w:sz="0" w:space="0" w:color="auto"/>
        <w:bottom w:val="none" w:sz="0" w:space="0" w:color="auto"/>
        <w:right w:val="none" w:sz="0" w:space="0" w:color="auto"/>
      </w:divBdr>
    </w:div>
    <w:div w:id="1215043513">
      <w:bodyDiv w:val="1"/>
      <w:marLeft w:val="0"/>
      <w:marRight w:val="0"/>
      <w:marTop w:val="0"/>
      <w:marBottom w:val="0"/>
      <w:divBdr>
        <w:top w:val="none" w:sz="0" w:space="0" w:color="auto"/>
        <w:left w:val="none" w:sz="0" w:space="0" w:color="auto"/>
        <w:bottom w:val="none" w:sz="0" w:space="0" w:color="auto"/>
        <w:right w:val="none" w:sz="0" w:space="0" w:color="auto"/>
      </w:divBdr>
    </w:div>
    <w:div w:id="1224829323">
      <w:bodyDiv w:val="1"/>
      <w:marLeft w:val="0"/>
      <w:marRight w:val="0"/>
      <w:marTop w:val="0"/>
      <w:marBottom w:val="0"/>
      <w:divBdr>
        <w:top w:val="none" w:sz="0" w:space="0" w:color="auto"/>
        <w:left w:val="none" w:sz="0" w:space="0" w:color="auto"/>
        <w:bottom w:val="none" w:sz="0" w:space="0" w:color="auto"/>
        <w:right w:val="none" w:sz="0" w:space="0" w:color="auto"/>
      </w:divBdr>
    </w:div>
    <w:div w:id="1233656793">
      <w:bodyDiv w:val="1"/>
      <w:marLeft w:val="0"/>
      <w:marRight w:val="0"/>
      <w:marTop w:val="0"/>
      <w:marBottom w:val="0"/>
      <w:divBdr>
        <w:top w:val="none" w:sz="0" w:space="0" w:color="auto"/>
        <w:left w:val="none" w:sz="0" w:space="0" w:color="auto"/>
        <w:bottom w:val="none" w:sz="0" w:space="0" w:color="auto"/>
        <w:right w:val="none" w:sz="0" w:space="0" w:color="auto"/>
      </w:divBdr>
    </w:div>
    <w:div w:id="1240288787">
      <w:bodyDiv w:val="1"/>
      <w:marLeft w:val="0"/>
      <w:marRight w:val="0"/>
      <w:marTop w:val="0"/>
      <w:marBottom w:val="0"/>
      <w:divBdr>
        <w:top w:val="none" w:sz="0" w:space="0" w:color="auto"/>
        <w:left w:val="none" w:sz="0" w:space="0" w:color="auto"/>
        <w:bottom w:val="none" w:sz="0" w:space="0" w:color="auto"/>
        <w:right w:val="none" w:sz="0" w:space="0" w:color="auto"/>
      </w:divBdr>
    </w:div>
    <w:div w:id="1266227332">
      <w:bodyDiv w:val="1"/>
      <w:marLeft w:val="0"/>
      <w:marRight w:val="0"/>
      <w:marTop w:val="0"/>
      <w:marBottom w:val="0"/>
      <w:divBdr>
        <w:top w:val="none" w:sz="0" w:space="0" w:color="auto"/>
        <w:left w:val="none" w:sz="0" w:space="0" w:color="auto"/>
        <w:bottom w:val="none" w:sz="0" w:space="0" w:color="auto"/>
        <w:right w:val="none" w:sz="0" w:space="0" w:color="auto"/>
      </w:divBdr>
    </w:div>
    <w:div w:id="1302686082">
      <w:bodyDiv w:val="1"/>
      <w:marLeft w:val="0"/>
      <w:marRight w:val="0"/>
      <w:marTop w:val="0"/>
      <w:marBottom w:val="0"/>
      <w:divBdr>
        <w:top w:val="none" w:sz="0" w:space="0" w:color="auto"/>
        <w:left w:val="none" w:sz="0" w:space="0" w:color="auto"/>
        <w:bottom w:val="none" w:sz="0" w:space="0" w:color="auto"/>
        <w:right w:val="none" w:sz="0" w:space="0" w:color="auto"/>
      </w:divBdr>
    </w:div>
    <w:div w:id="1312246286">
      <w:bodyDiv w:val="1"/>
      <w:marLeft w:val="0"/>
      <w:marRight w:val="0"/>
      <w:marTop w:val="0"/>
      <w:marBottom w:val="0"/>
      <w:divBdr>
        <w:top w:val="none" w:sz="0" w:space="0" w:color="auto"/>
        <w:left w:val="none" w:sz="0" w:space="0" w:color="auto"/>
        <w:bottom w:val="none" w:sz="0" w:space="0" w:color="auto"/>
        <w:right w:val="none" w:sz="0" w:space="0" w:color="auto"/>
      </w:divBdr>
    </w:div>
    <w:div w:id="1326978365">
      <w:bodyDiv w:val="1"/>
      <w:marLeft w:val="0"/>
      <w:marRight w:val="0"/>
      <w:marTop w:val="0"/>
      <w:marBottom w:val="0"/>
      <w:divBdr>
        <w:top w:val="none" w:sz="0" w:space="0" w:color="auto"/>
        <w:left w:val="none" w:sz="0" w:space="0" w:color="auto"/>
        <w:bottom w:val="none" w:sz="0" w:space="0" w:color="auto"/>
        <w:right w:val="none" w:sz="0" w:space="0" w:color="auto"/>
      </w:divBdr>
    </w:div>
    <w:div w:id="1344016576">
      <w:bodyDiv w:val="1"/>
      <w:marLeft w:val="0"/>
      <w:marRight w:val="0"/>
      <w:marTop w:val="0"/>
      <w:marBottom w:val="0"/>
      <w:divBdr>
        <w:top w:val="none" w:sz="0" w:space="0" w:color="auto"/>
        <w:left w:val="none" w:sz="0" w:space="0" w:color="auto"/>
        <w:bottom w:val="none" w:sz="0" w:space="0" w:color="auto"/>
        <w:right w:val="none" w:sz="0" w:space="0" w:color="auto"/>
      </w:divBdr>
    </w:div>
    <w:div w:id="1353335662">
      <w:bodyDiv w:val="1"/>
      <w:marLeft w:val="0"/>
      <w:marRight w:val="0"/>
      <w:marTop w:val="0"/>
      <w:marBottom w:val="0"/>
      <w:divBdr>
        <w:top w:val="none" w:sz="0" w:space="0" w:color="auto"/>
        <w:left w:val="none" w:sz="0" w:space="0" w:color="auto"/>
        <w:bottom w:val="none" w:sz="0" w:space="0" w:color="auto"/>
        <w:right w:val="none" w:sz="0" w:space="0" w:color="auto"/>
      </w:divBdr>
    </w:div>
    <w:div w:id="1354111481">
      <w:bodyDiv w:val="1"/>
      <w:marLeft w:val="0"/>
      <w:marRight w:val="0"/>
      <w:marTop w:val="0"/>
      <w:marBottom w:val="0"/>
      <w:divBdr>
        <w:top w:val="none" w:sz="0" w:space="0" w:color="auto"/>
        <w:left w:val="none" w:sz="0" w:space="0" w:color="auto"/>
        <w:bottom w:val="none" w:sz="0" w:space="0" w:color="auto"/>
        <w:right w:val="none" w:sz="0" w:space="0" w:color="auto"/>
      </w:divBdr>
    </w:div>
    <w:div w:id="1359358584">
      <w:bodyDiv w:val="1"/>
      <w:marLeft w:val="0"/>
      <w:marRight w:val="0"/>
      <w:marTop w:val="0"/>
      <w:marBottom w:val="0"/>
      <w:divBdr>
        <w:top w:val="none" w:sz="0" w:space="0" w:color="auto"/>
        <w:left w:val="none" w:sz="0" w:space="0" w:color="auto"/>
        <w:bottom w:val="none" w:sz="0" w:space="0" w:color="auto"/>
        <w:right w:val="none" w:sz="0" w:space="0" w:color="auto"/>
      </w:divBdr>
    </w:div>
    <w:div w:id="1382898608">
      <w:bodyDiv w:val="1"/>
      <w:marLeft w:val="0"/>
      <w:marRight w:val="0"/>
      <w:marTop w:val="0"/>
      <w:marBottom w:val="0"/>
      <w:divBdr>
        <w:top w:val="none" w:sz="0" w:space="0" w:color="auto"/>
        <w:left w:val="none" w:sz="0" w:space="0" w:color="auto"/>
        <w:bottom w:val="none" w:sz="0" w:space="0" w:color="auto"/>
        <w:right w:val="none" w:sz="0" w:space="0" w:color="auto"/>
      </w:divBdr>
    </w:div>
    <w:div w:id="1385448341">
      <w:bodyDiv w:val="1"/>
      <w:marLeft w:val="0"/>
      <w:marRight w:val="0"/>
      <w:marTop w:val="0"/>
      <w:marBottom w:val="0"/>
      <w:divBdr>
        <w:top w:val="none" w:sz="0" w:space="0" w:color="auto"/>
        <w:left w:val="none" w:sz="0" w:space="0" w:color="auto"/>
        <w:bottom w:val="none" w:sz="0" w:space="0" w:color="auto"/>
        <w:right w:val="none" w:sz="0" w:space="0" w:color="auto"/>
      </w:divBdr>
    </w:div>
    <w:div w:id="1398943256">
      <w:bodyDiv w:val="1"/>
      <w:marLeft w:val="0"/>
      <w:marRight w:val="0"/>
      <w:marTop w:val="0"/>
      <w:marBottom w:val="0"/>
      <w:divBdr>
        <w:top w:val="none" w:sz="0" w:space="0" w:color="auto"/>
        <w:left w:val="none" w:sz="0" w:space="0" w:color="auto"/>
        <w:bottom w:val="none" w:sz="0" w:space="0" w:color="auto"/>
        <w:right w:val="none" w:sz="0" w:space="0" w:color="auto"/>
      </w:divBdr>
    </w:div>
    <w:div w:id="1409155358">
      <w:bodyDiv w:val="1"/>
      <w:marLeft w:val="0"/>
      <w:marRight w:val="0"/>
      <w:marTop w:val="0"/>
      <w:marBottom w:val="0"/>
      <w:divBdr>
        <w:top w:val="none" w:sz="0" w:space="0" w:color="auto"/>
        <w:left w:val="none" w:sz="0" w:space="0" w:color="auto"/>
        <w:bottom w:val="none" w:sz="0" w:space="0" w:color="auto"/>
        <w:right w:val="none" w:sz="0" w:space="0" w:color="auto"/>
      </w:divBdr>
    </w:div>
    <w:div w:id="1417240203">
      <w:bodyDiv w:val="1"/>
      <w:marLeft w:val="0"/>
      <w:marRight w:val="0"/>
      <w:marTop w:val="0"/>
      <w:marBottom w:val="0"/>
      <w:divBdr>
        <w:top w:val="none" w:sz="0" w:space="0" w:color="auto"/>
        <w:left w:val="none" w:sz="0" w:space="0" w:color="auto"/>
        <w:bottom w:val="none" w:sz="0" w:space="0" w:color="auto"/>
        <w:right w:val="none" w:sz="0" w:space="0" w:color="auto"/>
      </w:divBdr>
    </w:div>
    <w:div w:id="1422066313">
      <w:bodyDiv w:val="1"/>
      <w:marLeft w:val="0"/>
      <w:marRight w:val="0"/>
      <w:marTop w:val="0"/>
      <w:marBottom w:val="0"/>
      <w:divBdr>
        <w:top w:val="none" w:sz="0" w:space="0" w:color="auto"/>
        <w:left w:val="none" w:sz="0" w:space="0" w:color="auto"/>
        <w:bottom w:val="none" w:sz="0" w:space="0" w:color="auto"/>
        <w:right w:val="none" w:sz="0" w:space="0" w:color="auto"/>
      </w:divBdr>
    </w:div>
    <w:div w:id="1426534973">
      <w:bodyDiv w:val="1"/>
      <w:marLeft w:val="0"/>
      <w:marRight w:val="0"/>
      <w:marTop w:val="0"/>
      <w:marBottom w:val="0"/>
      <w:divBdr>
        <w:top w:val="none" w:sz="0" w:space="0" w:color="auto"/>
        <w:left w:val="none" w:sz="0" w:space="0" w:color="auto"/>
        <w:bottom w:val="none" w:sz="0" w:space="0" w:color="auto"/>
        <w:right w:val="none" w:sz="0" w:space="0" w:color="auto"/>
      </w:divBdr>
    </w:div>
    <w:div w:id="1429887595">
      <w:bodyDiv w:val="1"/>
      <w:marLeft w:val="0"/>
      <w:marRight w:val="0"/>
      <w:marTop w:val="0"/>
      <w:marBottom w:val="0"/>
      <w:divBdr>
        <w:top w:val="none" w:sz="0" w:space="0" w:color="auto"/>
        <w:left w:val="none" w:sz="0" w:space="0" w:color="auto"/>
        <w:bottom w:val="none" w:sz="0" w:space="0" w:color="auto"/>
        <w:right w:val="none" w:sz="0" w:space="0" w:color="auto"/>
      </w:divBdr>
    </w:div>
    <w:div w:id="1431703617">
      <w:bodyDiv w:val="1"/>
      <w:marLeft w:val="0"/>
      <w:marRight w:val="0"/>
      <w:marTop w:val="0"/>
      <w:marBottom w:val="0"/>
      <w:divBdr>
        <w:top w:val="none" w:sz="0" w:space="0" w:color="auto"/>
        <w:left w:val="none" w:sz="0" w:space="0" w:color="auto"/>
        <w:bottom w:val="none" w:sz="0" w:space="0" w:color="auto"/>
        <w:right w:val="none" w:sz="0" w:space="0" w:color="auto"/>
      </w:divBdr>
    </w:div>
    <w:div w:id="1442452195">
      <w:bodyDiv w:val="1"/>
      <w:marLeft w:val="0"/>
      <w:marRight w:val="0"/>
      <w:marTop w:val="0"/>
      <w:marBottom w:val="0"/>
      <w:divBdr>
        <w:top w:val="none" w:sz="0" w:space="0" w:color="auto"/>
        <w:left w:val="none" w:sz="0" w:space="0" w:color="auto"/>
        <w:bottom w:val="none" w:sz="0" w:space="0" w:color="auto"/>
        <w:right w:val="none" w:sz="0" w:space="0" w:color="auto"/>
      </w:divBdr>
    </w:div>
    <w:div w:id="1470392512">
      <w:bodyDiv w:val="1"/>
      <w:marLeft w:val="0"/>
      <w:marRight w:val="0"/>
      <w:marTop w:val="0"/>
      <w:marBottom w:val="0"/>
      <w:divBdr>
        <w:top w:val="none" w:sz="0" w:space="0" w:color="auto"/>
        <w:left w:val="none" w:sz="0" w:space="0" w:color="auto"/>
        <w:bottom w:val="none" w:sz="0" w:space="0" w:color="auto"/>
        <w:right w:val="none" w:sz="0" w:space="0" w:color="auto"/>
      </w:divBdr>
    </w:div>
    <w:div w:id="1496914617">
      <w:bodyDiv w:val="1"/>
      <w:marLeft w:val="0"/>
      <w:marRight w:val="0"/>
      <w:marTop w:val="0"/>
      <w:marBottom w:val="0"/>
      <w:divBdr>
        <w:top w:val="none" w:sz="0" w:space="0" w:color="auto"/>
        <w:left w:val="none" w:sz="0" w:space="0" w:color="auto"/>
        <w:bottom w:val="none" w:sz="0" w:space="0" w:color="auto"/>
        <w:right w:val="none" w:sz="0" w:space="0" w:color="auto"/>
      </w:divBdr>
    </w:div>
    <w:div w:id="1508209899">
      <w:bodyDiv w:val="1"/>
      <w:marLeft w:val="0"/>
      <w:marRight w:val="0"/>
      <w:marTop w:val="0"/>
      <w:marBottom w:val="0"/>
      <w:divBdr>
        <w:top w:val="none" w:sz="0" w:space="0" w:color="auto"/>
        <w:left w:val="none" w:sz="0" w:space="0" w:color="auto"/>
        <w:bottom w:val="none" w:sz="0" w:space="0" w:color="auto"/>
        <w:right w:val="none" w:sz="0" w:space="0" w:color="auto"/>
      </w:divBdr>
    </w:div>
    <w:div w:id="1537769445">
      <w:bodyDiv w:val="1"/>
      <w:marLeft w:val="0"/>
      <w:marRight w:val="0"/>
      <w:marTop w:val="0"/>
      <w:marBottom w:val="0"/>
      <w:divBdr>
        <w:top w:val="none" w:sz="0" w:space="0" w:color="auto"/>
        <w:left w:val="none" w:sz="0" w:space="0" w:color="auto"/>
        <w:bottom w:val="none" w:sz="0" w:space="0" w:color="auto"/>
        <w:right w:val="none" w:sz="0" w:space="0" w:color="auto"/>
      </w:divBdr>
    </w:div>
    <w:div w:id="1548951697">
      <w:bodyDiv w:val="1"/>
      <w:marLeft w:val="0"/>
      <w:marRight w:val="0"/>
      <w:marTop w:val="0"/>
      <w:marBottom w:val="0"/>
      <w:divBdr>
        <w:top w:val="none" w:sz="0" w:space="0" w:color="auto"/>
        <w:left w:val="none" w:sz="0" w:space="0" w:color="auto"/>
        <w:bottom w:val="none" w:sz="0" w:space="0" w:color="auto"/>
        <w:right w:val="none" w:sz="0" w:space="0" w:color="auto"/>
      </w:divBdr>
    </w:div>
    <w:div w:id="1594707024">
      <w:bodyDiv w:val="1"/>
      <w:marLeft w:val="0"/>
      <w:marRight w:val="0"/>
      <w:marTop w:val="0"/>
      <w:marBottom w:val="0"/>
      <w:divBdr>
        <w:top w:val="none" w:sz="0" w:space="0" w:color="auto"/>
        <w:left w:val="none" w:sz="0" w:space="0" w:color="auto"/>
        <w:bottom w:val="none" w:sz="0" w:space="0" w:color="auto"/>
        <w:right w:val="none" w:sz="0" w:space="0" w:color="auto"/>
      </w:divBdr>
    </w:div>
    <w:div w:id="1612861501">
      <w:bodyDiv w:val="1"/>
      <w:marLeft w:val="0"/>
      <w:marRight w:val="0"/>
      <w:marTop w:val="0"/>
      <w:marBottom w:val="0"/>
      <w:divBdr>
        <w:top w:val="none" w:sz="0" w:space="0" w:color="auto"/>
        <w:left w:val="none" w:sz="0" w:space="0" w:color="auto"/>
        <w:bottom w:val="none" w:sz="0" w:space="0" w:color="auto"/>
        <w:right w:val="none" w:sz="0" w:space="0" w:color="auto"/>
      </w:divBdr>
    </w:div>
    <w:div w:id="1615474861">
      <w:bodyDiv w:val="1"/>
      <w:marLeft w:val="0"/>
      <w:marRight w:val="0"/>
      <w:marTop w:val="0"/>
      <w:marBottom w:val="0"/>
      <w:divBdr>
        <w:top w:val="none" w:sz="0" w:space="0" w:color="auto"/>
        <w:left w:val="none" w:sz="0" w:space="0" w:color="auto"/>
        <w:bottom w:val="none" w:sz="0" w:space="0" w:color="auto"/>
        <w:right w:val="none" w:sz="0" w:space="0" w:color="auto"/>
      </w:divBdr>
    </w:div>
    <w:div w:id="1625888418">
      <w:bodyDiv w:val="1"/>
      <w:marLeft w:val="0"/>
      <w:marRight w:val="0"/>
      <w:marTop w:val="0"/>
      <w:marBottom w:val="0"/>
      <w:divBdr>
        <w:top w:val="none" w:sz="0" w:space="0" w:color="auto"/>
        <w:left w:val="none" w:sz="0" w:space="0" w:color="auto"/>
        <w:bottom w:val="none" w:sz="0" w:space="0" w:color="auto"/>
        <w:right w:val="none" w:sz="0" w:space="0" w:color="auto"/>
      </w:divBdr>
    </w:div>
    <w:div w:id="1630821615">
      <w:bodyDiv w:val="1"/>
      <w:marLeft w:val="0"/>
      <w:marRight w:val="0"/>
      <w:marTop w:val="0"/>
      <w:marBottom w:val="0"/>
      <w:divBdr>
        <w:top w:val="none" w:sz="0" w:space="0" w:color="auto"/>
        <w:left w:val="none" w:sz="0" w:space="0" w:color="auto"/>
        <w:bottom w:val="none" w:sz="0" w:space="0" w:color="auto"/>
        <w:right w:val="none" w:sz="0" w:space="0" w:color="auto"/>
      </w:divBdr>
    </w:div>
    <w:div w:id="1637837344">
      <w:bodyDiv w:val="1"/>
      <w:marLeft w:val="0"/>
      <w:marRight w:val="0"/>
      <w:marTop w:val="0"/>
      <w:marBottom w:val="0"/>
      <w:divBdr>
        <w:top w:val="none" w:sz="0" w:space="0" w:color="auto"/>
        <w:left w:val="none" w:sz="0" w:space="0" w:color="auto"/>
        <w:bottom w:val="none" w:sz="0" w:space="0" w:color="auto"/>
        <w:right w:val="none" w:sz="0" w:space="0" w:color="auto"/>
      </w:divBdr>
    </w:div>
    <w:div w:id="1645042611">
      <w:bodyDiv w:val="1"/>
      <w:marLeft w:val="0"/>
      <w:marRight w:val="0"/>
      <w:marTop w:val="0"/>
      <w:marBottom w:val="0"/>
      <w:divBdr>
        <w:top w:val="none" w:sz="0" w:space="0" w:color="auto"/>
        <w:left w:val="none" w:sz="0" w:space="0" w:color="auto"/>
        <w:bottom w:val="none" w:sz="0" w:space="0" w:color="auto"/>
        <w:right w:val="none" w:sz="0" w:space="0" w:color="auto"/>
      </w:divBdr>
    </w:div>
    <w:div w:id="1667509338">
      <w:bodyDiv w:val="1"/>
      <w:marLeft w:val="0"/>
      <w:marRight w:val="0"/>
      <w:marTop w:val="0"/>
      <w:marBottom w:val="0"/>
      <w:divBdr>
        <w:top w:val="none" w:sz="0" w:space="0" w:color="auto"/>
        <w:left w:val="none" w:sz="0" w:space="0" w:color="auto"/>
        <w:bottom w:val="none" w:sz="0" w:space="0" w:color="auto"/>
        <w:right w:val="none" w:sz="0" w:space="0" w:color="auto"/>
      </w:divBdr>
    </w:div>
    <w:div w:id="1678532216">
      <w:bodyDiv w:val="1"/>
      <w:marLeft w:val="0"/>
      <w:marRight w:val="0"/>
      <w:marTop w:val="0"/>
      <w:marBottom w:val="0"/>
      <w:divBdr>
        <w:top w:val="none" w:sz="0" w:space="0" w:color="auto"/>
        <w:left w:val="none" w:sz="0" w:space="0" w:color="auto"/>
        <w:bottom w:val="none" w:sz="0" w:space="0" w:color="auto"/>
        <w:right w:val="none" w:sz="0" w:space="0" w:color="auto"/>
      </w:divBdr>
    </w:div>
    <w:div w:id="1680541089">
      <w:bodyDiv w:val="1"/>
      <w:marLeft w:val="0"/>
      <w:marRight w:val="0"/>
      <w:marTop w:val="0"/>
      <w:marBottom w:val="0"/>
      <w:divBdr>
        <w:top w:val="none" w:sz="0" w:space="0" w:color="auto"/>
        <w:left w:val="none" w:sz="0" w:space="0" w:color="auto"/>
        <w:bottom w:val="none" w:sz="0" w:space="0" w:color="auto"/>
        <w:right w:val="none" w:sz="0" w:space="0" w:color="auto"/>
      </w:divBdr>
    </w:div>
    <w:div w:id="1711030645">
      <w:bodyDiv w:val="1"/>
      <w:marLeft w:val="0"/>
      <w:marRight w:val="0"/>
      <w:marTop w:val="0"/>
      <w:marBottom w:val="0"/>
      <w:divBdr>
        <w:top w:val="none" w:sz="0" w:space="0" w:color="auto"/>
        <w:left w:val="none" w:sz="0" w:space="0" w:color="auto"/>
        <w:bottom w:val="none" w:sz="0" w:space="0" w:color="auto"/>
        <w:right w:val="none" w:sz="0" w:space="0" w:color="auto"/>
      </w:divBdr>
    </w:div>
    <w:div w:id="1725256580">
      <w:bodyDiv w:val="1"/>
      <w:marLeft w:val="0"/>
      <w:marRight w:val="0"/>
      <w:marTop w:val="0"/>
      <w:marBottom w:val="0"/>
      <w:divBdr>
        <w:top w:val="none" w:sz="0" w:space="0" w:color="auto"/>
        <w:left w:val="none" w:sz="0" w:space="0" w:color="auto"/>
        <w:bottom w:val="none" w:sz="0" w:space="0" w:color="auto"/>
        <w:right w:val="none" w:sz="0" w:space="0" w:color="auto"/>
      </w:divBdr>
    </w:div>
    <w:div w:id="1731729564">
      <w:bodyDiv w:val="1"/>
      <w:marLeft w:val="0"/>
      <w:marRight w:val="0"/>
      <w:marTop w:val="0"/>
      <w:marBottom w:val="0"/>
      <w:divBdr>
        <w:top w:val="none" w:sz="0" w:space="0" w:color="auto"/>
        <w:left w:val="none" w:sz="0" w:space="0" w:color="auto"/>
        <w:bottom w:val="none" w:sz="0" w:space="0" w:color="auto"/>
        <w:right w:val="none" w:sz="0" w:space="0" w:color="auto"/>
      </w:divBdr>
    </w:div>
    <w:div w:id="1741438495">
      <w:bodyDiv w:val="1"/>
      <w:marLeft w:val="0"/>
      <w:marRight w:val="0"/>
      <w:marTop w:val="0"/>
      <w:marBottom w:val="0"/>
      <w:divBdr>
        <w:top w:val="none" w:sz="0" w:space="0" w:color="auto"/>
        <w:left w:val="none" w:sz="0" w:space="0" w:color="auto"/>
        <w:bottom w:val="none" w:sz="0" w:space="0" w:color="auto"/>
        <w:right w:val="none" w:sz="0" w:space="0" w:color="auto"/>
      </w:divBdr>
    </w:div>
    <w:div w:id="1777748109">
      <w:bodyDiv w:val="1"/>
      <w:marLeft w:val="0"/>
      <w:marRight w:val="0"/>
      <w:marTop w:val="0"/>
      <w:marBottom w:val="0"/>
      <w:divBdr>
        <w:top w:val="none" w:sz="0" w:space="0" w:color="auto"/>
        <w:left w:val="none" w:sz="0" w:space="0" w:color="auto"/>
        <w:bottom w:val="none" w:sz="0" w:space="0" w:color="auto"/>
        <w:right w:val="none" w:sz="0" w:space="0" w:color="auto"/>
      </w:divBdr>
    </w:div>
    <w:div w:id="1832481005">
      <w:bodyDiv w:val="1"/>
      <w:marLeft w:val="0"/>
      <w:marRight w:val="0"/>
      <w:marTop w:val="0"/>
      <w:marBottom w:val="0"/>
      <w:divBdr>
        <w:top w:val="none" w:sz="0" w:space="0" w:color="auto"/>
        <w:left w:val="none" w:sz="0" w:space="0" w:color="auto"/>
        <w:bottom w:val="none" w:sz="0" w:space="0" w:color="auto"/>
        <w:right w:val="none" w:sz="0" w:space="0" w:color="auto"/>
      </w:divBdr>
    </w:div>
    <w:div w:id="1832594705">
      <w:bodyDiv w:val="1"/>
      <w:marLeft w:val="0"/>
      <w:marRight w:val="0"/>
      <w:marTop w:val="0"/>
      <w:marBottom w:val="0"/>
      <w:divBdr>
        <w:top w:val="none" w:sz="0" w:space="0" w:color="auto"/>
        <w:left w:val="none" w:sz="0" w:space="0" w:color="auto"/>
        <w:bottom w:val="none" w:sz="0" w:space="0" w:color="auto"/>
        <w:right w:val="none" w:sz="0" w:space="0" w:color="auto"/>
      </w:divBdr>
    </w:div>
    <w:div w:id="1887834415">
      <w:bodyDiv w:val="1"/>
      <w:marLeft w:val="0"/>
      <w:marRight w:val="0"/>
      <w:marTop w:val="0"/>
      <w:marBottom w:val="0"/>
      <w:divBdr>
        <w:top w:val="none" w:sz="0" w:space="0" w:color="auto"/>
        <w:left w:val="none" w:sz="0" w:space="0" w:color="auto"/>
        <w:bottom w:val="none" w:sz="0" w:space="0" w:color="auto"/>
        <w:right w:val="none" w:sz="0" w:space="0" w:color="auto"/>
      </w:divBdr>
    </w:div>
    <w:div w:id="1888299056">
      <w:bodyDiv w:val="1"/>
      <w:marLeft w:val="0"/>
      <w:marRight w:val="0"/>
      <w:marTop w:val="0"/>
      <w:marBottom w:val="0"/>
      <w:divBdr>
        <w:top w:val="none" w:sz="0" w:space="0" w:color="auto"/>
        <w:left w:val="none" w:sz="0" w:space="0" w:color="auto"/>
        <w:bottom w:val="none" w:sz="0" w:space="0" w:color="auto"/>
        <w:right w:val="none" w:sz="0" w:space="0" w:color="auto"/>
      </w:divBdr>
    </w:div>
    <w:div w:id="1900365513">
      <w:bodyDiv w:val="1"/>
      <w:marLeft w:val="0"/>
      <w:marRight w:val="0"/>
      <w:marTop w:val="0"/>
      <w:marBottom w:val="0"/>
      <w:divBdr>
        <w:top w:val="none" w:sz="0" w:space="0" w:color="auto"/>
        <w:left w:val="none" w:sz="0" w:space="0" w:color="auto"/>
        <w:bottom w:val="none" w:sz="0" w:space="0" w:color="auto"/>
        <w:right w:val="none" w:sz="0" w:space="0" w:color="auto"/>
      </w:divBdr>
    </w:div>
    <w:div w:id="1926063151">
      <w:bodyDiv w:val="1"/>
      <w:marLeft w:val="0"/>
      <w:marRight w:val="0"/>
      <w:marTop w:val="0"/>
      <w:marBottom w:val="0"/>
      <w:divBdr>
        <w:top w:val="none" w:sz="0" w:space="0" w:color="auto"/>
        <w:left w:val="none" w:sz="0" w:space="0" w:color="auto"/>
        <w:bottom w:val="none" w:sz="0" w:space="0" w:color="auto"/>
        <w:right w:val="none" w:sz="0" w:space="0" w:color="auto"/>
      </w:divBdr>
    </w:div>
    <w:div w:id="1929922579">
      <w:bodyDiv w:val="1"/>
      <w:marLeft w:val="0"/>
      <w:marRight w:val="0"/>
      <w:marTop w:val="0"/>
      <w:marBottom w:val="0"/>
      <w:divBdr>
        <w:top w:val="none" w:sz="0" w:space="0" w:color="auto"/>
        <w:left w:val="none" w:sz="0" w:space="0" w:color="auto"/>
        <w:bottom w:val="none" w:sz="0" w:space="0" w:color="auto"/>
        <w:right w:val="none" w:sz="0" w:space="0" w:color="auto"/>
      </w:divBdr>
    </w:div>
    <w:div w:id="1932619112">
      <w:bodyDiv w:val="1"/>
      <w:marLeft w:val="0"/>
      <w:marRight w:val="0"/>
      <w:marTop w:val="0"/>
      <w:marBottom w:val="0"/>
      <w:divBdr>
        <w:top w:val="none" w:sz="0" w:space="0" w:color="auto"/>
        <w:left w:val="none" w:sz="0" w:space="0" w:color="auto"/>
        <w:bottom w:val="none" w:sz="0" w:space="0" w:color="auto"/>
        <w:right w:val="none" w:sz="0" w:space="0" w:color="auto"/>
      </w:divBdr>
    </w:div>
    <w:div w:id="1941405501">
      <w:bodyDiv w:val="1"/>
      <w:marLeft w:val="0"/>
      <w:marRight w:val="0"/>
      <w:marTop w:val="0"/>
      <w:marBottom w:val="0"/>
      <w:divBdr>
        <w:top w:val="none" w:sz="0" w:space="0" w:color="auto"/>
        <w:left w:val="none" w:sz="0" w:space="0" w:color="auto"/>
        <w:bottom w:val="none" w:sz="0" w:space="0" w:color="auto"/>
        <w:right w:val="none" w:sz="0" w:space="0" w:color="auto"/>
      </w:divBdr>
    </w:div>
    <w:div w:id="1953707171">
      <w:bodyDiv w:val="1"/>
      <w:marLeft w:val="0"/>
      <w:marRight w:val="0"/>
      <w:marTop w:val="0"/>
      <w:marBottom w:val="0"/>
      <w:divBdr>
        <w:top w:val="none" w:sz="0" w:space="0" w:color="auto"/>
        <w:left w:val="none" w:sz="0" w:space="0" w:color="auto"/>
        <w:bottom w:val="none" w:sz="0" w:space="0" w:color="auto"/>
        <w:right w:val="none" w:sz="0" w:space="0" w:color="auto"/>
      </w:divBdr>
    </w:div>
    <w:div w:id="1957368177">
      <w:bodyDiv w:val="1"/>
      <w:marLeft w:val="0"/>
      <w:marRight w:val="0"/>
      <w:marTop w:val="0"/>
      <w:marBottom w:val="0"/>
      <w:divBdr>
        <w:top w:val="none" w:sz="0" w:space="0" w:color="auto"/>
        <w:left w:val="none" w:sz="0" w:space="0" w:color="auto"/>
        <w:bottom w:val="none" w:sz="0" w:space="0" w:color="auto"/>
        <w:right w:val="none" w:sz="0" w:space="0" w:color="auto"/>
      </w:divBdr>
    </w:div>
    <w:div w:id="1959021995">
      <w:bodyDiv w:val="1"/>
      <w:marLeft w:val="0"/>
      <w:marRight w:val="0"/>
      <w:marTop w:val="0"/>
      <w:marBottom w:val="0"/>
      <w:divBdr>
        <w:top w:val="none" w:sz="0" w:space="0" w:color="auto"/>
        <w:left w:val="none" w:sz="0" w:space="0" w:color="auto"/>
        <w:bottom w:val="none" w:sz="0" w:space="0" w:color="auto"/>
        <w:right w:val="none" w:sz="0" w:space="0" w:color="auto"/>
      </w:divBdr>
    </w:div>
    <w:div w:id="1964382893">
      <w:bodyDiv w:val="1"/>
      <w:marLeft w:val="0"/>
      <w:marRight w:val="0"/>
      <w:marTop w:val="0"/>
      <w:marBottom w:val="0"/>
      <w:divBdr>
        <w:top w:val="none" w:sz="0" w:space="0" w:color="auto"/>
        <w:left w:val="none" w:sz="0" w:space="0" w:color="auto"/>
        <w:bottom w:val="none" w:sz="0" w:space="0" w:color="auto"/>
        <w:right w:val="none" w:sz="0" w:space="0" w:color="auto"/>
      </w:divBdr>
    </w:div>
    <w:div w:id="1974796802">
      <w:bodyDiv w:val="1"/>
      <w:marLeft w:val="0"/>
      <w:marRight w:val="0"/>
      <w:marTop w:val="0"/>
      <w:marBottom w:val="0"/>
      <w:divBdr>
        <w:top w:val="none" w:sz="0" w:space="0" w:color="auto"/>
        <w:left w:val="none" w:sz="0" w:space="0" w:color="auto"/>
        <w:bottom w:val="none" w:sz="0" w:space="0" w:color="auto"/>
        <w:right w:val="none" w:sz="0" w:space="0" w:color="auto"/>
      </w:divBdr>
    </w:div>
    <w:div w:id="1984116610">
      <w:bodyDiv w:val="1"/>
      <w:marLeft w:val="0"/>
      <w:marRight w:val="0"/>
      <w:marTop w:val="0"/>
      <w:marBottom w:val="0"/>
      <w:divBdr>
        <w:top w:val="none" w:sz="0" w:space="0" w:color="auto"/>
        <w:left w:val="none" w:sz="0" w:space="0" w:color="auto"/>
        <w:bottom w:val="none" w:sz="0" w:space="0" w:color="auto"/>
        <w:right w:val="none" w:sz="0" w:space="0" w:color="auto"/>
      </w:divBdr>
    </w:div>
    <w:div w:id="2043439480">
      <w:bodyDiv w:val="1"/>
      <w:marLeft w:val="0"/>
      <w:marRight w:val="0"/>
      <w:marTop w:val="0"/>
      <w:marBottom w:val="0"/>
      <w:divBdr>
        <w:top w:val="none" w:sz="0" w:space="0" w:color="auto"/>
        <w:left w:val="none" w:sz="0" w:space="0" w:color="auto"/>
        <w:bottom w:val="none" w:sz="0" w:space="0" w:color="auto"/>
        <w:right w:val="none" w:sz="0" w:space="0" w:color="auto"/>
      </w:divBdr>
    </w:div>
    <w:div w:id="2052148985">
      <w:bodyDiv w:val="1"/>
      <w:marLeft w:val="0"/>
      <w:marRight w:val="0"/>
      <w:marTop w:val="0"/>
      <w:marBottom w:val="0"/>
      <w:divBdr>
        <w:top w:val="none" w:sz="0" w:space="0" w:color="auto"/>
        <w:left w:val="none" w:sz="0" w:space="0" w:color="auto"/>
        <w:bottom w:val="none" w:sz="0" w:space="0" w:color="auto"/>
        <w:right w:val="none" w:sz="0" w:space="0" w:color="auto"/>
      </w:divBdr>
    </w:div>
    <w:div w:id="2066636250">
      <w:bodyDiv w:val="1"/>
      <w:marLeft w:val="0"/>
      <w:marRight w:val="0"/>
      <w:marTop w:val="0"/>
      <w:marBottom w:val="0"/>
      <w:divBdr>
        <w:top w:val="none" w:sz="0" w:space="0" w:color="auto"/>
        <w:left w:val="none" w:sz="0" w:space="0" w:color="auto"/>
        <w:bottom w:val="none" w:sz="0" w:space="0" w:color="auto"/>
        <w:right w:val="none" w:sz="0" w:space="0" w:color="auto"/>
      </w:divBdr>
    </w:div>
    <w:div w:id="2067606662">
      <w:bodyDiv w:val="1"/>
      <w:marLeft w:val="0"/>
      <w:marRight w:val="0"/>
      <w:marTop w:val="0"/>
      <w:marBottom w:val="0"/>
      <w:divBdr>
        <w:top w:val="none" w:sz="0" w:space="0" w:color="auto"/>
        <w:left w:val="none" w:sz="0" w:space="0" w:color="auto"/>
        <w:bottom w:val="none" w:sz="0" w:space="0" w:color="auto"/>
        <w:right w:val="none" w:sz="0" w:space="0" w:color="auto"/>
      </w:divBdr>
    </w:div>
    <w:div w:id="2072341909">
      <w:bodyDiv w:val="1"/>
      <w:marLeft w:val="0"/>
      <w:marRight w:val="0"/>
      <w:marTop w:val="0"/>
      <w:marBottom w:val="0"/>
      <w:divBdr>
        <w:top w:val="none" w:sz="0" w:space="0" w:color="auto"/>
        <w:left w:val="none" w:sz="0" w:space="0" w:color="auto"/>
        <w:bottom w:val="none" w:sz="0" w:space="0" w:color="auto"/>
        <w:right w:val="none" w:sz="0" w:space="0" w:color="auto"/>
      </w:divBdr>
    </w:div>
    <w:div w:id="2074426865">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88306018">
      <w:bodyDiv w:val="1"/>
      <w:marLeft w:val="0"/>
      <w:marRight w:val="0"/>
      <w:marTop w:val="0"/>
      <w:marBottom w:val="0"/>
      <w:divBdr>
        <w:top w:val="none" w:sz="0" w:space="0" w:color="auto"/>
        <w:left w:val="none" w:sz="0" w:space="0" w:color="auto"/>
        <w:bottom w:val="none" w:sz="0" w:space="0" w:color="auto"/>
        <w:right w:val="none" w:sz="0" w:space="0" w:color="auto"/>
      </w:divBdr>
    </w:div>
    <w:div w:id="2117552731">
      <w:bodyDiv w:val="1"/>
      <w:marLeft w:val="0"/>
      <w:marRight w:val="0"/>
      <w:marTop w:val="0"/>
      <w:marBottom w:val="0"/>
      <w:divBdr>
        <w:top w:val="none" w:sz="0" w:space="0" w:color="auto"/>
        <w:left w:val="none" w:sz="0" w:space="0" w:color="auto"/>
        <w:bottom w:val="none" w:sz="0" w:space="0" w:color="auto"/>
        <w:right w:val="none" w:sz="0" w:space="0" w:color="auto"/>
      </w:divBdr>
    </w:div>
    <w:div w:id="213262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A344AE6F-5C49-46FE-9925-8FFC8D741BE2}"/>
</file>

<file path=customXml/itemProps2.xml><?xml version="1.0" encoding="utf-8"?>
<ds:datastoreItem xmlns:ds="http://schemas.openxmlformats.org/officeDocument/2006/customXml" ds:itemID="{8CBAD8E7-6CD7-4115-8066-C1091A2B742E}"/>
</file>

<file path=customXml/itemProps3.xml><?xml version="1.0" encoding="utf-8"?>
<ds:datastoreItem xmlns:ds="http://schemas.openxmlformats.org/officeDocument/2006/customXml" ds:itemID="{B324FFD6-779E-450F-B7B5-0EC05CEEE91D}"/>
</file>

<file path=customXml/itemProps4.xml><?xml version="1.0" encoding="utf-8"?>
<ds:datastoreItem xmlns:ds="http://schemas.openxmlformats.org/officeDocument/2006/customXml" ds:itemID="{AD30B33C-8117-4BE7-A8D5-01B8D6569CA3}"/>
</file>

<file path=docProps/app.xml><?xml version="1.0" encoding="utf-8"?>
<Properties xmlns="http://schemas.openxmlformats.org/officeDocument/2006/extended-properties" xmlns:vt="http://schemas.openxmlformats.org/officeDocument/2006/docPropsVTypes">
  <Template>76694EF4.dotm</Template>
  <TotalTime>212</TotalTime>
  <Pages>2</Pages>
  <Words>541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Victorian Senior Secondary Certificate Participation and Completions</vt:lpstr>
    </vt:vector>
  </TitlesOfParts>
  <Company>Victorian Curriculum and Assessment Authority (VCAA)</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Senior Secondary Certificate Participation and Completions</dc:title>
  <dc:subject>Completion of Victorian Senior Secondary Certificates, 2015</dc:subject>
  <dc:creator>Victorian Curriculum and Assessment Authority (VCAA)</dc:creator>
  <cp:keywords>VCE;Victorian Certificate of Education;enrolments;unit results;gender;level;completion rate;grade assessment;outcomes;median;grade distribution;</cp:keywords>
  <cp:lastModifiedBy>Tang, Ying T</cp:lastModifiedBy>
  <cp:revision>45</cp:revision>
  <cp:lastPrinted>2013-01-24T23:57:00Z</cp:lastPrinted>
  <dcterms:created xsi:type="dcterms:W3CDTF">2012-01-18T03:06:00Z</dcterms:created>
  <dcterms:modified xsi:type="dcterms:W3CDTF">2016-01-28T02:15:00Z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