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5C" w:rsidRDefault="00CF0ADD" w:rsidP="009B61E5">
      <w:pPr>
        <w:pStyle w:val="VCAADocumenttitle"/>
      </w:pPr>
      <w:r w:rsidRPr="00CF0ADD">
        <w:t>Industry Pathways in the VCE and VCAL</w:t>
      </w:r>
    </w:p>
    <w:p w:rsidR="00243F0D" w:rsidRDefault="00CF0ADD" w:rsidP="00BD2B91">
      <w:pPr>
        <w:pStyle w:val="VCAAHeading1"/>
      </w:pPr>
      <w:bookmarkStart w:id="0" w:name="TemplateOverview"/>
      <w:bookmarkEnd w:id="0"/>
      <w:r w:rsidRPr="00CF0ADD">
        <w:t>Resource for English Teachers – adding industry contexts to VCE English Units 1 and 2</w:t>
      </w:r>
    </w:p>
    <w:p w:rsidR="004D4F9D" w:rsidRPr="00823962" w:rsidRDefault="004D4F9D" w:rsidP="004D4F9D">
      <w:pPr>
        <w:pStyle w:val="VCAAbody"/>
      </w:pPr>
      <w:r>
        <w:t>The following is a general introduction to the Industry Pathways program. More specific and detailed information about resources for English Teachers in relation to Industry Pathways in Building and Construction, Community Services and Health, Manufacturing and Engineering, and Sport and Recreation is available on request from the VCAA. To request this additional information, please email the VCAA at &lt;</w:t>
      </w:r>
      <w:hyperlink r:id="rId9" w:history="1">
        <w:r w:rsidR="00825676" w:rsidRPr="00120FB1">
          <w:rPr>
            <w:rStyle w:val="Hyperlink"/>
          </w:rPr>
          <w:t>vet.vcaa@edumail.vic.gov.au</w:t>
        </w:r>
      </w:hyperlink>
      <w:r>
        <w:t>&gt;.</w:t>
      </w:r>
    </w:p>
    <w:p w:rsidR="00CF0ADD" w:rsidRDefault="00CF0ADD" w:rsidP="00E66885">
      <w:pPr>
        <w:pStyle w:val="VCAAHeading2"/>
      </w:pPr>
      <w:r>
        <w:t>Introduction</w:t>
      </w:r>
    </w:p>
    <w:p w:rsidR="00CF0ADD" w:rsidRDefault="00CF0ADD" w:rsidP="00BD2412">
      <w:pPr>
        <w:pStyle w:val="VCAAHeading4"/>
      </w:pPr>
      <w:r>
        <w:t>What’s it about?</w:t>
      </w:r>
    </w:p>
    <w:p w:rsidR="00CF0ADD" w:rsidRDefault="00CF0ADD" w:rsidP="00CF0ADD">
      <w:pPr>
        <w:pStyle w:val="VCAAbody"/>
      </w:pPr>
      <w:r>
        <w:t>This resource is designed to assist English teachers of students undertaking an Industry Pathway to connect the learning occurring within English with the Vocational Education and Training (VET) studies from the Industry Pathway. The aim is to better engage students with their English studies and build their ability to transfer English skills across their studies.</w:t>
      </w:r>
    </w:p>
    <w:p w:rsidR="00CF0ADD" w:rsidRDefault="00CF0ADD" w:rsidP="00CF0ADD">
      <w:pPr>
        <w:pStyle w:val="VCAAbody"/>
      </w:pPr>
      <w:r>
        <w:t>Industry Pathways set out a program of studies in the VCE and in VCAL in four broad industry areas:</w:t>
      </w:r>
    </w:p>
    <w:p w:rsidR="00CF0ADD" w:rsidRDefault="00CF0ADD" w:rsidP="00DC715B">
      <w:pPr>
        <w:pStyle w:val="VCAAbullet"/>
      </w:pPr>
      <w:r>
        <w:t>Building and Construction</w:t>
      </w:r>
    </w:p>
    <w:p w:rsidR="00CF0ADD" w:rsidRDefault="00CF0ADD" w:rsidP="00DC715B">
      <w:pPr>
        <w:pStyle w:val="VCAAbullet"/>
      </w:pPr>
      <w:r>
        <w:t>Community Services and Health</w:t>
      </w:r>
    </w:p>
    <w:p w:rsidR="00CF0ADD" w:rsidRDefault="00CF0ADD" w:rsidP="00DC715B">
      <w:pPr>
        <w:pStyle w:val="VCAAbullet"/>
      </w:pPr>
      <w:r>
        <w:t>Manufacturing and Engineering</w:t>
      </w:r>
    </w:p>
    <w:p w:rsidR="00CF0ADD" w:rsidRDefault="00CF0ADD" w:rsidP="00DC715B">
      <w:pPr>
        <w:pStyle w:val="VCAAbullet"/>
      </w:pPr>
      <w:r>
        <w:t>Sport and Recreation.</w:t>
      </w:r>
    </w:p>
    <w:p w:rsidR="00CF0ADD" w:rsidRDefault="00CF0ADD" w:rsidP="00CF0ADD">
      <w:pPr>
        <w:pStyle w:val="VCAAbody"/>
      </w:pPr>
      <w:r>
        <w:t>The program descriptors for the Industry Pathways are available on the VCAA website. This document should be read in conjunction with the program descriptors. To attain an Industry Pathway</w:t>
      </w:r>
      <w:r w:rsidR="0067666F">
        <w:t>,</w:t>
      </w:r>
      <w:r>
        <w:t xml:space="preserve"> students must complete the VCE or Senior VCAL, including either the VCE VET program or a school-based apprenticeship or traineeship</w:t>
      </w:r>
      <w:r w:rsidR="00352C69">
        <w:t xml:space="preserve"> from the identified industry</w:t>
      </w:r>
      <w:r>
        <w:t xml:space="preserve">, English (literacy in VCAL), mathematics (numeracy in VCAL), </w:t>
      </w:r>
      <w:proofErr w:type="gramStart"/>
      <w:r>
        <w:t>other</w:t>
      </w:r>
      <w:proofErr w:type="gramEnd"/>
      <w:r>
        <w:t xml:space="preserve"> studies related to the industry theme and 80 hours of </w:t>
      </w:r>
      <w:r w:rsidR="0067666F">
        <w:t xml:space="preserve">structured </w:t>
      </w:r>
      <w:r>
        <w:t>workplace learning. It is also highly recommended that Industry Pathways students undertake some learning outside of their VET studies that is ‘</w:t>
      </w:r>
      <w:proofErr w:type="spellStart"/>
      <w:r>
        <w:t>contextualised</w:t>
      </w:r>
      <w:proofErr w:type="spellEnd"/>
      <w:r>
        <w:t xml:space="preserve">’ to the industry theme. This resource is designed to assist teachers to </w:t>
      </w:r>
      <w:proofErr w:type="spellStart"/>
      <w:r>
        <w:t>contextualise</w:t>
      </w:r>
      <w:proofErr w:type="spellEnd"/>
      <w:r>
        <w:t xml:space="preserve"> English.</w:t>
      </w:r>
    </w:p>
    <w:p w:rsidR="00CF0ADD" w:rsidRDefault="00CF0ADD" w:rsidP="00BD2412">
      <w:pPr>
        <w:pStyle w:val="VCAAHeading4"/>
      </w:pPr>
      <w:r>
        <w:t>How has the industry context been determined?</w:t>
      </w:r>
    </w:p>
    <w:p w:rsidR="00CF0ADD" w:rsidRDefault="00CF0ADD" w:rsidP="00CF0ADD">
      <w:pPr>
        <w:pStyle w:val="VCAAbody"/>
      </w:pPr>
      <w:r>
        <w:t xml:space="preserve">The context for each industry has been drawn mainly from the VCE VET program for the relevant industry. The different units of competency or modules in the VCE VET program have been </w:t>
      </w:r>
      <w:proofErr w:type="spellStart"/>
      <w:r>
        <w:t>analysed</w:t>
      </w:r>
      <w:proofErr w:type="spellEnd"/>
      <w:r>
        <w:t xml:space="preserve"> to identify skills and contexts relevant to the VCE English Units 1 and 2. This is illustrated in the mapping tables for each industry in this resource.</w:t>
      </w:r>
    </w:p>
    <w:p w:rsidR="00CF0ADD" w:rsidRDefault="00CF0ADD" w:rsidP="00CF0ADD">
      <w:pPr>
        <w:pStyle w:val="VCAAbody"/>
      </w:pPr>
      <w:r>
        <w:t xml:space="preserve">A set of </w:t>
      </w:r>
      <w:proofErr w:type="spellStart"/>
      <w:r>
        <w:t>Contextualised</w:t>
      </w:r>
      <w:proofErr w:type="spellEnd"/>
      <w:r>
        <w:t xml:space="preserve"> Learning Activities (CLAs) has been developed to illustrate how the industry context can be applied in the English curriculum.</w:t>
      </w:r>
    </w:p>
    <w:p w:rsidR="00BD2412" w:rsidRDefault="00D245D5" w:rsidP="00D245D5">
      <w:pPr>
        <w:pStyle w:val="VCAAbody"/>
      </w:pPr>
      <w:r w:rsidRPr="00D245D5">
        <w:rPr>
          <w:b/>
        </w:rPr>
        <w:t>Note:</w:t>
      </w:r>
      <w:r>
        <w:t xml:space="preserve"> The VCE English study has been reviewed and from 2016 its structure differs from that referred to in these resources; however, these resources can still be used as general references.</w:t>
      </w:r>
      <w:r w:rsidR="00BD2412">
        <w:br w:type="page"/>
      </w:r>
    </w:p>
    <w:p w:rsidR="00CF0ADD" w:rsidRDefault="00CF0ADD" w:rsidP="00BD2412">
      <w:pPr>
        <w:pStyle w:val="VCAAHeading4"/>
      </w:pPr>
      <w:r>
        <w:t>What the resource includes</w:t>
      </w:r>
    </w:p>
    <w:p w:rsidR="00CF0ADD" w:rsidRDefault="00E07361" w:rsidP="00DC715B">
      <w:pPr>
        <w:pStyle w:val="VCAAbullet"/>
      </w:pPr>
      <w:r>
        <w:t>A</w:t>
      </w:r>
      <w:r w:rsidR="00CF0ADD">
        <w:t xml:space="preserve"> common introduction that applies to all four Industry Pathways. It provides instructions on how to use the resource and advice on implementing contextualised learning activities.</w:t>
      </w:r>
    </w:p>
    <w:p w:rsidR="00CF0ADD" w:rsidRDefault="00CF0ADD" w:rsidP="00DC715B">
      <w:pPr>
        <w:pStyle w:val="VCAAbullet"/>
      </w:pPr>
      <w:r>
        <w:t xml:space="preserve">A </w:t>
      </w:r>
      <w:r w:rsidR="00E07361">
        <w:t xml:space="preserve">resource </w:t>
      </w:r>
      <w:r>
        <w:t>for each of the four Industry Pathways industries:</w:t>
      </w:r>
    </w:p>
    <w:p w:rsidR="00CF0ADD" w:rsidRDefault="00CF0ADD" w:rsidP="00DC715B">
      <w:pPr>
        <w:pStyle w:val="VCAAbulletlevel2"/>
      </w:pPr>
      <w:r>
        <w:t>Building and Construction</w:t>
      </w:r>
    </w:p>
    <w:p w:rsidR="00CF0ADD" w:rsidRDefault="00CF0ADD" w:rsidP="00DC715B">
      <w:pPr>
        <w:pStyle w:val="VCAAbulletlevel2"/>
      </w:pPr>
      <w:r>
        <w:t>Community Services and Health</w:t>
      </w:r>
    </w:p>
    <w:p w:rsidR="00CF0ADD" w:rsidRDefault="00CF0ADD" w:rsidP="00DC715B">
      <w:pPr>
        <w:pStyle w:val="VCAAbulletlevel2"/>
      </w:pPr>
      <w:r>
        <w:t>Manufacturing and Engineering</w:t>
      </w:r>
    </w:p>
    <w:p w:rsidR="00CF0ADD" w:rsidRDefault="00CF0ADD" w:rsidP="00DC715B">
      <w:pPr>
        <w:pStyle w:val="VCAAbulletlevel2"/>
      </w:pPr>
      <w:r>
        <w:t>Sport and Recreation.</w:t>
      </w:r>
    </w:p>
    <w:p w:rsidR="00CF0ADD" w:rsidRDefault="00CF0ADD" w:rsidP="00CF0ADD">
      <w:pPr>
        <w:pStyle w:val="VCAAbody"/>
      </w:pPr>
      <w:r>
        <w:t xml:space="preserve">Each of </w:t>
      </w:r>
      <w:r w:rsidR="00E07361">
        <w:t>the industry resources</w:t>
      </w:r>
      <w:r>
        <w:t xml:space="preserve"> includes:</w:t>
      </w:r>
    </w:p>
    <w:p w:rsidR="00CF0ADD" w:rsidRDefault="00CF0ADD" w:rsidP="00DC715B">
      <w:pPr>
        <w:pStyle w:val="VCAAbullet"/>
      </w:pPr>
      <w:r>
        <w:t xml:space="preserve">a mapping table illustrating the alignment of the key skills and knowledge in VCE English Units 1 and 2 with the sample </w:t>
      </w:r>
      <w:r w:rsidR="00777AF2">
        <w:t>CLAs</w:t>
      </w:r>
      <w:r>
        <w:t xml:space="preserve"> and where possible with the VET program</w:t>
      </w:r>
    </w:p>
    <w:p w:rsidR="00CF0ADD" w:rsidRDefault="00CF0ADD" w:rsidP="00DC715B">
      <w:pPr>
        <w:pStyle w:val="VCAAbullet"/>
      </w:pPr>
      <w:r>
        <w:t xml:space="preserve">sample contextualised learning activities, including relevant resources </w:t>
      </w:r>
    </w:p>
    <w:p w:rsidR="00CF0ADD" w:rsidRDefault="00CF0ADD" w:rsidP="00DC715B">
      <w:pPr>
        <w:pStyle w:val="VCAAbullet"/>
      </w:pPr>
      <w:r>
        <w:t>a resource list relevant to all three outcomes in VCE English Units 1 and 2</w:t>
      </w:r>
    </w:p>
    <w:p w:rsidR="00F375CB" w:rsidRDefault="00CF0ADD" w:rsidP="00DC715B">
      <w:pPr>
        <w:pStyle w:val="VCAAbullet"/>
      </w:pPr>
      <w:r>
        <w:t xml:space="preserve">a glossary of key terms and activities (terms in the glossary appear in </w:t>
      </w:r>
      <w:r w:rsidR="00335BD8" w:rsidRPr="00335BD8">
        <w:rPr>
          <w:i/>
        </w:rPr>
        <w:t>italics</w:t>
      </w:r>
      <w:r>
        <w:t xml:space="preserve"> in the text)</w:t>
      </w:r>
    </w:p>
    <w:p w:rsidR="00CF0ADD" w:rsidRDefault="00F375CB" w:rsidP="00DC715B">
      <w:pPr>
        <w:pStyle w:val="VCAAbullet"/>
      </w:pPr>
      <w:proofErr w:type="gramStart"/>
      <w:r>
        <w:t>additional</w:t>
      </w:r>
      <w:proofErr w:type="gramEnd"/>
      <w:r>
        <w:t xml:space="preserve"> materials, including worksheets and templates related to the CLAs</w:t>
      </w:r>
      <w:r w:rsidR="00CF0ADD">
        <w:t>.</w:t>
      </w:r>
    </w:p>
    <w:p w:rsidR="00CF0ADD" w:rsidRDefault="00CF0ADD" w:rsidP="00BD2412">
      <w:pPr>
        <w:pStyle w:val="VCAAHeading4"/>
      </w:pPr>
      <w:r>
        <w:t>Advice on using this resource</w:t>
      </w:r>
    </w:p>
    <w:p w:rsidR="00CF0ADD" w:rsidRDefault="00CF0ADD" w:rsidP="00CF0ADD">
      <w:pPr>
        <w:pStyle w:val="VCAAbody"/>
      </w:pPr>
      <w:r>
        <w:t xml:space="preserve">Effective </w:t>
      </w:r>
      <w:proofErr w:type="spellStart"/>
      <w:r>
        <w:t>contextualisation</w:t>
      </w:r>
      <w:proofErr w:type="spellEnd"/>
      <w:r>
        <w:t xml:space="preserve"> is more likely to occur when students have the opportunity to work through substantial activities while being taught how English skills can be transferred to their vocational studies. It is recommended that a CLA consist of a minimum of approximately </w:t>
      </w:r>
      <w:r w:rsidRPr="00E35EE7">
        <w:rPr>
          <w:b/>
        </w:rPr>
        <w:t>five hours</w:t>
      </w:r>
      <w:r>
        <w:t xml:space="preserve"> of classroom time.</w:t>
      </w:r>
    </w:p>
    <w:p w:rsidR="00CF0ADD" w:rsidRDefault="00CF0ADD" w:rsidP="00CF0ADD">
      <w:pPr>
        <w:pStyle w:val="VCAAbody"/>
      </w:pPr>
      <w:r>
        <w:t xml:space="preserve">The CLAs have been designed for adaptation by the teacher. Teachers can use one, many, or all CLAs, adapt them to their local circumstances and/or make up their own CLAs. Each CLA is directly linked to a particular English outcome, but has been designed so it can be taught during Unit 1 or Unit 2. Teachers may choose to </w:t>
      </w:r>
      <w:proofErr w:type="spellStart"/>
      <w:r>
        <w:t>contextualise</w:t>
      </w:r>
      <w:proofErr w:type="spellEnd"/>
      <w:r>
        <w:t xml:space="preserve"> more of one particular unit than another – or work with one activity in Unit 1 and then complete the extension activity version in Unit 2.</w:t>
      </w:r>
    </w:p>
    <w:p w:rsidR="00CF0ADD" w:rsidRDefault="00CF0ADD" w:rsidP="00CF0ADD">
      <w:pPr>
        <w:pStyle w:val="VCAAbody"/>
      </w:pPr>
      <w:r>
        <w:t xml:space="preserve">A resource list is included, covering resources that can be used for each outcome across the year. This demonstrates just how far </w:t>
      </w:r>
      <w:proofErr w:type="spellStart"/>
      <w:r>
        <w:t>contextualisation</w:t>
      </w:r>
      <w:proofErr w:type="spellEnd"/>
      <w:r>
        <w:t xml:space="preserve"> can occur.</w:t>
      </w:r>
    </w:p>
    <w:p w:rsidR="00CF0ADD" w:rsidRDefault="00CF0ADD" w:rsidP="00CF0ADD">
      <w:pPr>
        <w:pStyle w:val="VCAAbody"/>
      </w:pPr>
      <w:r>
        <w:t xml:space="preserve">Industry terminology and </w:t>
      </w:r>
      <w:r w:rsidR="005E6350">
        <w:t xml:space="preserve">references to </w:t>
      </w:r>
      <w:r w:rsidR="00B24C9D">
        <w:t xml:space="preserve">key skills and knowledge associated with </w:t>
      </w:r>
      <w:r w:rsidR="005E6350">
        <w:t>units of competency</w:t>
      </w:r>
      <w:r>
        <w:t xml:space="preserve"> have been highlighted </w:t>
      </w:r>
      <w:r w:rsidR="00D52F72">
        <w:t xml:space="preserve">with a </w:t>
      </w:r>
      <w:r w:rsidR="00D52F72" w:rsidRPr="005E6350">
        <w:rPr>
          <w:u w:val="dottedHeavy"/>
        </w:rPr>
        <w:t>dotted underline</w:t>
      </w:r>
      <w:r>
        <w:t xml:space="preserve"> so English teachers are able to remind students of the relevance </w:t>
      </w:r>
      <w:r w:rsidR="00D52F72">
        <w:t xml:space="preserve">to their industry </w:t>
      </w:r>
      <w:r>
        <w:t xml:space="preserve">of the activity within English studies. This conscious transferring of skills and knowledge from one study to the other is an important aspect of </w:t>
      </w:r>
      <w:proofErr w:type="spellStart"/>
      <w:r>
        <w:t>contextualisation</w:t>
      </w:r>
      <w:proofErr w:type="spellEnd"/>
      <w:r>
        <w:t xml:space="preserve">. </w:t>
      </w:r>
    </w:p>
    <w:p w:rsidR="00CF0ADD" w:rsidRDefault="00CF0ADD" w:rsidP="00CF0ADD">
      <w:pPr>
        <w:pStyle w:val="VCAAbody"/>
      </w:pPr>
      <w:r>
        <w:t xml:space="preserve">Some CLAs include significantly more overt industry links than others – but each activity has been </w:t>
      </w:r>
      <w:proofErr w:type="gramStart"/>
      <w:r>
        <w:t>designed</w:t>
      </w:r>
      <w:proofErr w:type="gramEnd"/>
      <w:r>
        <w:t xml:space="preserve"> to connect the English curriculum with skills relevant to the industry.</w:t>
      </w:r>
    </w:p>
    <w:p w:rsidR="00CF0ADD" w:rsidRDefault="00CF0ADD" w:rsidP="00CF0ADD">
      <w:pPr>
        <w:pStyle w:val="VCAAbody"/>
      </w:pPr>
      <w:r>
        <w:t>Duration of a CLA will depend on a range of factors, including class ability, prior knowledge and overall focus, but also on whether extension/alteration activities are being applied. Teachers are advised to look closely at the expectations of each task and allocate appropriate class time.</w:t>
      </w:r>
    </w:p>
    <w:p w:rsidR="00BD2412" w:rsidRDefault="00BD2412">
      <w:pPr>
        <w:rPr>
          <w:rFonts w:ascii="Arial" w:hAnsi="Arial" w:cs="Arial"/>
          <w:b/>
          <w:color w:val="000000" w:themeColor="text1"/>
          <w:sz w:val="24"/>
          <w:lang w:val="en" w:eastAsia="en-AU"/>
        </w:rPr>
      </w:pPr>
      <w:r>
        <w:br w:type="page"/>
      </w:r>
    </w:p>
    <w:p w:rsidR="00CF0ADD" w:rsidRDefault="00CF0ADD" w:rsidP="00BD2412">
      <w:pPr>
        <w:pStyle w:val="VCAAHeading4"/>
      </w:pPr>
      <w:r>
        <w:t>Advice on developing CLAs</w:t>
      </w:r>
    </w:p>
    <w:p w:rsidR="00CF0ADD" w:rsidRDefault="00CF0ADD" w:rsidP="00CF0ADD">
      <w:pPr>
        <w:pStyle w:val="VCAAbody"/>
      </w:pPr>
      <w:r>
        <w:t xml:space="preserve">The key for teachers developing their own CLAs is to make the links between the subjects explicit for students. One level of </w:t>
      </w:r>
      <w:proofErr w:type="spellStart"/>
      <w:r>
        <w:t>contextualisation</w:t>
      </w:r>
      <w:proofErr w:type="spellEnd"/>
      <w:r>
        <w:t xml:space="preserve"> is using industry-specific texts as English texts. Using such texts will consolidate the </w:t>
      </w:r>
      <w:proofErr w:type="spellStart"/>
      <w:r>
        <w:t>contextualisation</w:t>
      </w:r>
      <w:proofErr w:type="spellEnd"/>
      <w:r>
        <w:t xml:space="preserve"> for the students and hopefully engage them in their English studies. The next level is building literacy and communication skills that students can transfer between English and VET.</w:t>
      </w:r>
    </w:p>
    <w:p w:rsidR="00CF0ADD" w:rsidRDefault="00CF0ADD" w:rsidP="00CF0ADD">
      <w:pPr>
        <w:pStyle w:val="VCAAbody"/>
      </w:pPr>
      <w:r>
        <w:t>Teachers are advised to speak with the relevant VET teacher to gain a better idea of the industry context, including the requirements for English-related skills in the industry.</w:t>
      </w:r>
    </w:p>
    <w:p w:rsidR="00CF0ADD" w:rsidRDefault="00CF0ADD" w:rsidP="00CF0ADD">
      <w:pPr>
        <w:pStyle w:val="VCAAbody"/>
      </w:pPr>
      <w:r>
        <w:t xml:space="preserve">Another successful means of developing </w:t>
      </w:r>
      <w:proofErr w:type="spellStart"/>
      <w:r>
        <w:t>contextualised</w:t>
      </w:r>
      <w:proofErr w:type="spellEnd"/>
      <w:r>
        <w:t xml:space="preserve"> learning activities developed in pilot work is to </w:t>
      </w:r>
      <w:proofErr w:type="spellStart"/>
      <w:r>
        <w:t>utilise</w:t>
      </w:r>
      <w:proofErr w:type="spellEnd"/>
      <w:r>
        <w:t xml:space="preserve"> environments outside the school as a basis for </w:t>
      </w:r>
      <w:proofErr w:type="spellStart"/>
      <w:r>
        <w:t>contextualised</w:t>
      </w:r>
      <w:proofErr w:type="spellEnd"/>
      <w:r>
        <w:t xml:space="preserve"> learning at school. This includes attending relevant outreach activities at tertiary providers or industry excursions.</w:t>
      </w:r>
    </w:p>
    <w:p w:rsidR="00CF0ADD" w:rsidRDefault="00CF0ADD" w:rsidP="00CF0ADD">
      <w:pPr>
        <w:pStyle w:val="VCAAbody"/>
      </w:pPr>
      <w:r>
        <w:t xml:space="preserve">Workplace learning also provides an opportunity to </w:t>
      </w:r>
      <w:proofErr w:type="spellStart"/>
      <w:r>
        <w:t>contextualise</w:t>
      </w:r>
      <w:proofErr w:type="spellEnd"/>
      <w:r>
        <w:t xml:space="preserve"> English studies. For example, a written report on workplace activities can be used as an English piece.</w:t>
      </w:r>
    </w:p>
    <w:p w:rsidR="00CF0ADD" w:rsidRDefault="00CF0ADD" w:rsidP="00BD2412">
      <w:pPr>
        <w:pStyle w:val="VCAAHeading4"/>
      </w:pPr>
      <w:r>
        <w:t>Timetabling and sequencing</w:t>
      </w:r>
    </w:p>
    <w:p w:rsidR="00CF0ADD" w:rsidRDefault="00CF0ADD" w:rsidP="00CF0ADD">
      <w:pPr>
        <w:pStyle w:val="VCAAbody"/>
      </w:pPr>
      <w:r>
        <w:t xml:space="preserve">The </w:t>
      </w:r>
      <w:proofErr w:type="spellStart"/>
      <w:r>
        <w:t>contextualised</w:t>
      </w:r>
      <w:proofErr w:type="spellEnd"/>
      <w:r>
        <w:t xml:space="preserve"> learning activities are most valuable to students undertaking an Industry Pathway or relevant VET studies. This does not mean that classes need to be timetabled to only include students also undertaking VET. While this may be possible in some schools, it is also likely not to be possible in the majority of cases. For this reason the </w:t>
      </w:r>
      <w:proofErr w:type="spellStart"/>
      <w:r>
        <w:t>contextualised</w:t>
      </w:r>
      <w:proofErr w:type="spellEnd"/>
      <w:r>
        <w:t xml:space="preserve"> learning is designed to meet the requirements of the VCE English Study Design and is equally relevant to students who are not involved in an Industry Pathway.</w:t>
      </w:r>
    </w:p>
    <w:p w:rsidR="00CF0ADD" w:rsidRDefault="00CF0ADD" w:rsidP="00BD2412">
      <w:pPr>
        <w:pStyle w:val="VCAAHeading4"/>
      </w:pPr>
      <w:r>
        <w:t>Using the same CLA in a class that includes students from a variety of different industries</w:t>
      </w:r>
    </w:p>
    <w:p w:rsidR="00BD2412" w:rsidRDefault="00CF0ADD" w:rsidP="00CF0ADD">
      <w:pPr>
        <w:pStyle w:val="VCAAbody"/>
      </w:pPr>
      <w:r>
        <w:t xml:space="preserve">Many of the CLAs are covered in all of the different industries – just </w:t>
      </w:r>
      <w:proofErr w:type="spellStart"/>
      <w:r>
        <w:t>utilising</w:t>
      </w:r>
      <w:proofErr w:type="spellEnd"/>
      <w:r>
        <w:t xml:space="preserve"> different resources and foci for the class to work with. This makes it possible for a teacher to use one of these common CLAs in a class that includes students from a variety of different industries. Using the Potential Resource List from each of the industries, teachers can </w:t>
      </w:r>
      <w:proofErr w:type="spellStart"/>
      <w:r>
        <w:t>individualise</w:t>
      </w:r>
      <w:proofErr w:type="spellEnd"/>
      <w:r>
        <w:t xml:space="preserve"> their lessons to support students from all the four industries in the same class. The title of the CLA and industry or industries to which it applies </w:t>
      </w:r>
      <w:proofErr w:type="gramStart"/>
      <w:r>
        <w:t>are</w:t>
      </w:r>
      <w:proofErr w:type="gramEnd"/>
      <w:r>
        <w:t xml:space="preserve"> set out in the table </w:t>
      </w:r>
      <w:r w:rsidR="00BD2412">
        <w:t>on page 4</w:t>
      </w:r>
      <w:r>
        <w:t>.</w:t>
      </w:r>
    </w:p>
    <w:p w:rsidR="00BD2412" w:rsidRDefault="00BD2412">
      <w:r>
        <w:br w:type="page"/>
      </w:r>
    </w:p>
    <w:p w:rsidR="00E6797F" w:rsidRDefault="008D331B" w:rsidP="008D331B">
      <w:pPr>
        <w:pStyle w:val="VCAAHeading5"/>
      </w:pPr>
      <w:proofErr w:type="spellStart"/>
      <w:r>
        <w:t>Contextualised</w:t>
      </w:r>
      <w:proofErr w:type="spellEnd"/>
      <w:r>
        <w:t xml:space="preserve"> learning a</w:t>
      </w:r>
      <w:r w:rsidR="00E6797F">
        <w:t>ctivities (CLAs)</w:t>
      </w:r>
    </w:p>
    <w:tbl>
      <w:tblPr>
        <w:tblStyle w:val="VCAATableClosed"/>
        <w:tblW w:w="9747" w:type="dxa"/>
        <w:tblLook w:val="04A0" w:firstRow="1" w:lastRow="0" w:firstColumn="1" w:lastColumn="0" w:noHBand="0" w:noVBand="1"/>
        <w:tblCaption w:val="Table one"/>
        <w:tblDescription w:val="VCAA closed table style"/>
      </w:tblPr>
      <w:tblGrid>
        <w:gridCol w:w="4873"/>
        <w:gridCol w:w="4874"/>
      </w:tblGrid>
      <w:tr w:rsidR="00FA1D70" w:rsidTr="00A14F5C">
        <w:trPr>
          <w:cnfStyle w:val="100000000000" w:firstRow="1" w:lastRow="0" w:firstColumn="0" w:lastColumn="0" w:oddVBand="0" w:evenVBand="0" w:oddHBand="0" w:evenHBand="0" w:firstRowFirstColumn="0" w:firstRowLastColumn="0" w:lastRowFirstColumn="0" w:lastRowLastColumn="0"/>
          <w:tblHeader/>
        </w:trPr>
        <w:tc>
          <w:tcPr>
            <w:tcW w:w="4873" w:type="dxa"/>
            <w:tcBorders>
              <w:bottom w:val="single" w:sz="4" w:space="0" w:color="000000" w:themeColor="text1"/>
            </w:tcBorders>
            <w:shd w:val="clear" w:color="auto" w:fill="auto"/>
          </w:tcPr>
          <w:p w:rsidR="00FA1D70" w:rsidRPr="00A06C5C" w:rsidRDefault="00FA1D70" w:rsidP="00761C08">
            <w:pPr>
              <w:pStyle w:val="VCAAtablecondensedheading"/>
            </w:pPr>
            <w:r w:rsidRPr="00A06C5C">
              <w:t>CLA Title</w:t>
            </w:r>
          </w:p>
        </w:tc>
        <w:tc>
          <w:tcPr>
            <w:tcW w:w="4874" w:type="dxa"/>
            <w:tcBorders>
              <w:bottom w:val="single" w:sz="4" w:space="0" w:color="000000" w:themeColor="text1"/>
            </w:tcBorders>
            <w:shd w:val="clear" w:color="auto" w:fill="auto"/>
          </w:tcPr>
          <w:p w:rsidR="00FA1D70" w:rsidRDefault="00FA1D70" w:rsidP="00761C08">
            <w:pPr>
              <w:pStyle w:val="VCAAtablecondensedheading"/>
            </w:pPr>
            <w:r w:rsidRPr="00A06C5C">
              <w:t>Relevant Industries</w:t>
            </w:r>
          </w:p>
        </w:tc>
      </w:tr>
      <w:tr w:rsidR="00FA1D70" w:rsidTr="00A14F5C">
        <w:tc>
          <w:tcPr>
            <w:tcW w:w="9747" w:type="dxa"/>
            <w:gridSpan w:val="2"/>
            <w:shd w:val="clear" w:color="auto" w:fill="D7D7D7"/>
          </w:tcPr>
          <w:p w:rsidR="00FA1D70" w:rsidRPr="00761C08" w:rsidRDefault="00151757" w:rsidP="00761C08">
            <w:pPr>
              <w:pStyle w:val="VCAAtablecondensedheading"/>
              <w:rPr>
                <w:b/>
              </w:rPr>
            </w:pPr>
            <w:r>
              <w:rPr>
                <w:b/>
              </w:rPr>
              <w:t>Area of Study</w:t>
            </w:r>
            <w:r w:rsidRPr="00761C08">
              <w:rPr>
                <w:b/>
              </w:rPr>
              <w:t xml:space="preserve"> </w:t>
            </w:r>
            <w:r w:rsidR="00FA1D70" w:rsidRPr="00761C08">
              <w:rPr>
                <w:b/>
              </w:rPr>
              <w:t>One</w:t>
            </w:r>
          </w:p>
        </w:tc>
      </w:tr>
      <w:tr w:rsidR="00FA1D70" w:rsidTr="00FA1D70">
        <w:tc>
          <w:tcPr>
            <w:tcW w:w="4873" w:type="dxa"/>
          </w:tcPr>
          <w:p w:rsidR="00FA1D70" w:rsidRDefault="00FA1D70" w:rsidP="00FA1D70">
            <w:pPr>
              <w:jc w:val="both"/>
            </w:pPr>
            <w:r>
              <w:t>Small Group Investigation of a Text</w:t>
            </w:r>
          </w:p>
        </w:tc>
        <w:tc>
          <w:tcPr>
            <w:tcW w:w="4874" w:type="dxa"/>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p w:rsidR="00FA1D70" w:rsidRDefault="00FA1D70" w:rsidP="00FA1D70">
            <w:pPr>
              <w:jc w:val="both"/>
            </w:pPr>
            <w:r>
              <w:t>Sport and Recreation</w:t>
            </w:r>
          </w:p>
        </w:tc>
      </w:tr>
      <w:tr w:rsidR="00FA1D70" w:rsidTr="00FA1D70">
        <w:tc>
          <w:tcPr>
            <w:tcW w:w="4873" w:type="dxa"/>
          </w:tcPr>
          <w:p w:rsidR="00FA1D70" w:rsidRDefault="00FA1D70" w:rsidP="00FA1D70">
            <w:pPr>
              <w:jc w:val="both"/>
            </w:pPr>
            <w:r>
              <w:t>Writers Workshop to Build on Feedback</w:t>
            </w:r>
          </w:p>
        </w:tc>
        <w:tc>
          <w:tcPr>
            <w:tcW w:w="4874" w:type="dxa"/>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p w:rsidR="00FA1D70" w:rsidRDefault="00FA1D70" w:rsidP="00FA1D70">
            <w:pPr>
              <w:jc w:val="both"/>
            </w:pPr>
            <w:r>
              <w:t>Sport and Recreation</w:t>
            </w:r>
          </w:p>
        </w:tc>
      </w:tr>
      <w:tr w:rsidR="00FA1D70" w:rsidTr="00761C08">
        <w:tc>
          <w:tcPr>
            <w:tcW w:w="4873" w:type="dxa"/>
            <w:tcBorders>
              <w:bottom w:val="single" w:sz="4" w:space="0" w:color="000000" w:themeColor="text1"/>
            </w:tcBorders>
          </w:tcPr>
          <w:p w:rsidR="00FA1D70" w:rsidRDefault="00FA1D70" w:rsidP="00FA1D70">
            <w:pPr>
              <w:jc w:val="both"/>
            </w:pPr>
            <w:r>
              <w:t>Exploring Themes through Poetry</w:t>
            </w:r>
          </w:p>
        </w:tc>
        <w:tc>
          <w:tcPr>
            <w:tcW w:w="4874" w:type="dxa"/>
            <w:tcBorders>
              <w:bottom w:val="single" w:sz="4" w:space="0" w:color="000000" w:themeColor="text1"/>
            </w:tcBorders>
          </w:tcPr>
          <w:p w:rsidR="00FA1D70" w:rsidRDefault="00761C08" w:rsidP="00FA1D70">
            <w:pPr>
              <w:jc w:val="both"/>
            </w:pPr>
            <w:r>
              <w:t>Community Services and Health</w:t>
            </w:r>
          </w:p>
        </w:tc>
      </w:tr>
      <w:tr w:rsidR="00FA1D70" w:rsidTr="00761C08">
        <w:tc>
          <w:tcPr>
            <w:tcW w:w="9747" w:type="dxa"/>
            <w:gridSpan w:val="2"/>
            <w:shd w:val="clear" w:color="auto" w:fill="D7D7D7"/>
          </w:tcPr>
          <w:p w:rsidR="00FA1D70" w:rsidRPr="00761C08" w:rsidRDefault="00151757" w:rsidP="00761C08">
            <w:pPr>
              <w:pStyle w:val="VCAAtablecondensedheading"/>
              <w:rPr>
                <w:b/>
              </w:rPr>
            </w:pPr>
            <w:r>
              <w:rPr>
                <w:b/>
              </w:rPr>
              <w:t>Area of Study</w:t>
            </w:r>
            <w:r w:rsidRPr="00761C08">
              <w:rPr>
                <w:b/>
              </w:rPr>
              <w:t xml:space="preserve"> </w:t>
            </w:r>
            <w:r w:rsidR="00FA1D70" w:rsidRPr="00761C08">
              <w:rPr>
                <w:b/>
              </w:rPr>
              <w:t>Two</w:t>
            </w:r>
          </w:p>
        </w:tc>
      </w:tr>
      <w:tr w:rsidR="00FA1D70" w:rsidTr="00FA1D70">
        <w:tc>
          <w:tcPr>
            <w:tcW w:w="4873" w:type="dxa"/>
          </w:tcPr>
          <w:p w:rsidR="00FA1D70" w:rsidRDefault="00FA1D70" w:rsidP="00FA1D70">
            <w:pPr>
              <w:jc w:val="both"/>
            </w:pPr>
            <w:r>
              <w:t>Exploring and Presenting Themes</w:t>
            </w:r>
          </w:p>
        </w:tc>
        <w:tc>
          <w:tcPr>
            <w:tcW w:w="4874" w:type="dxa"/>
          </w:tcPr>
          <w:p w:rsidR="00FA1D70" w:rsidRDefault="00FA1D70" w:rsidP="00FA1D70">
            <w:pPr>
              <w:jc w:val="both"/>
            </w:pPr>
            <w:r>
              <w:t>Community Services and Health</w:t>
            </w:r>
          </w:p>
          <w:p w:rsidR="00FA1D70" w:rsidRDefault="00FA1D70" w:rsidP="00FA1D70">
            <w:pPr>
              <w:jc w:val="both"/>
            </w:pPr>
            <w:r>
              <w:t>Sport and Recreation</w:t>
            </w:r>
          </w:p>
        </w:tc>
      </w:tr>
      <w:tr w:rsidR="00FA1D70" w:rsidTr="00FA1D70">
        <w:tc>
          <w:tcPr>
            <w:tcW w:w="4873" w:type="dxa"/>
          </w:tcPr>
          <w:p w:rsidR="00FA1D70" w:rsidRDefault="00FA1D70" w:rsidP="00FA1D70">
            <w:r>
              <w:t>Exploring Technology and Communication</w:t>
            </w:r>
          </w:p>
        </w:tc>
        <w:tc>
          <w:tcPr>
            <w:tcW w:w="4874" w:type="dxa"/>
          </w:tcPr>
          <w:p w:rsidR="00FA1D70" w:rsidRDefault="00761C08" w:rsidP="00FA1D70">
            <w:pPr>
              <w:jc w:val="both"/>
            </w:pPr>
            <w:r>
              <w:t>Sport and Recreation</w:t>
            </w:r>
          </w:p>
        </w:tc>
      </w:tr>
      <w:tr w:rsidR="00FA1D70" w:rsidTr="00FA1D70">
        <w:tc>
          <w:tcPr>
            <w:tcW w:w="4873" w:type="dxa"/>
          </w:tcPr>
          <w:p w:rsidR="00FA1D70" w:rsidRDefault="00FA1D70" w:rsidP="00FA1D70">
            <w:pPr>
              <w:jc w:val="both"/>
            </w:pPr>
            <w:r>
              <w:t>Exploring Workplace Communication</w:t>
            </w:r>
          </w:p>
        </w:tc>
        <w:tc>
          <w:tcPr>
            <w:tcW w:w="4874" w:type="dxa"/>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p w:rsidR="00FA1D70" w:rsidRDefault="00FA1D70" w:rsidP="00FA1D70">
            <w:pPr>
              <w:jc w:val="both"/>
            </w:pPr>
            <w:r>
              <w:t>Sport and Recreation</w:t>
            </w:r>
          </w:p>
        </w:tc>
      </w:tr>
      <w:tr w:rsidR="00FA1D70" w:rsidTr="00761C08">
        <w:tc>
          <w:tcPr>
            <w:tcW w:w="4873" w:type="dxa"/>
            <w:tcBorders>
              <w:bottom w:val="single" w:sz="4" w:space="0" w:color="000000" w:themeColor="text1"/>
            </w:tcBorders>
          </w:tcPr>
          <w:p w:rsidR="00FA1D70" w:rsidRDefault="00FA1D70" w:rsidP="00FA1D70">
            <w:r>
              <w:t>Writing for Specific Audiences and Purposes</w:t>
            </w:r>
          </w:p>
        </w:tc>
        <w:tc>
          <w:tcPr>
            <w:tcW w:w="4874" w:type="dxa"/>
            <w:tcBorders>
              <w:bottom w:val="single" w:sz="4" w:space="0" w:color="000000" w:themeColor="text1"/>
            </w:tcBorders>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tc>
      </w:tr>
      <w:tr w:rsidR="00FA1D70" w:rsidTr="00761C08">
        <w:tc>
          <w:tcPr>
            <w:tcW w:w="9747" w:type="dxa"/>
            <w:gridSpan w:val="2"/>
            <w:shd w:val="clear" w:color="auto" w:fill="D7D7D7"/>
          </w:tcPr>
          <w:p w:rsidR="00FA1D70" w:rsidRPr="00761C08" w:rsidRDefault="00151757" w:rsidP="00761C08">
            <w:pPr>
              <w:pStyle w:val="VCAAtablecondensedheading"/>
              <w:rPr>
                <w:b/>
              </w:rPr>
            </w:pPr>
            <w:r>
              <w:rPr>
                <w:b/>
              </w:rPr>
              <w:t>Area of Study</w:t>
            </w:r>
            <w:r w:rsidRPr="00761C08">
              <w:rPr>
                <w:b/>
              </w:rPr>
              <w:t xml:space="preserve"> </w:t>
            </w:r>
            <w:r w:rsidR="00FA1D70" w:rsidRPr="00761C08">
              <w:rPr>
                <w:b/>
              </w:rPr>
              <w:t>Three</w:t>
            </w:r>
          </w:p>
        </w:tc>
      </w:tr>
      <w:tr w:rsidR="00FA1D70" w:rsidTr="00FA1D70">
        <w:tc>
          <w:tcPr>
            <w:tcW w:w="4873" w:type="dxa"/>
          </w:tcPr>
          <w:p w:rsidR="00FA1D70" w:rsidRDefault="00FA1D70" w:rsidP="00FA1D70">
            <w:pPr>
              <w:jc w:val="both"/>
            </w:pPr>
            <w:proofErr w:type="spellStart"/>
            <w:r>
              <w:t>Analysing</w:t>
            </w:r>
            <w:proofErr w:type="spellEnd"/>
            <w:r>
              <w:t xml:space="preserve"> Texts</w:t>
            </w:r>
          </w:p>
        </w:tc>
        <w:tc>
          <w:tcPr>
            <w:tcW w:w="4874" w:type="dxa"/>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p w:rsidR="00FA1D70" w:rsidRDefault="00FA1D70" w:rsidP="00FA1D70">
            <w:pPr>
              <w:jc w:val="both"/>
            </w:pPr>
            <w:r>
              <w:t>Sport and Recreation</w:t>
            </w:r>
          </w:p>
        </w:tc>
      </w:tr>
      <w:tr w:rsidR="00FA1D70" w:rsidTr="00FA1D70">
        <w:tc>
          <w:tcPr>
            <w:tcW w:w="4873" w:type="dxa"/>
          </w:tcPr>
          <w:p w:rsidR="00FA1D70" w:rsidRDefault="00FA1D70" w:rsidP="00FA1D70">
            <w:pPr>
              <w:jc w:val="both"/>
            </w:pPr>
            <w:r>
              <w:t>Writing Point of View</w:t>
            </w:r>
          </w:p>
        </w:tc>
        <w:tc>
          <w:tcPr>
            <w:tcW w:w="4874" w:type="dxa"/>
          </w:tcPr>
          <w:p w:rsidR="00FA1D70" w:rsidRDefault="00FA1D70" w:rsidP="00FA1D70">
            <w:pPr>
              <w:jc w:val="both"/>
            </w:pPr>
            <w:r>
              <w:t>Building and Construction</w:t>
            </w:r>
          </w:p>
          <w:p w:rsidR="00FA1D70" w:rsidRDefault="00FA1D70" w:rsidP="00FA1D70">
            <w:pPr>
              <w:jc w:val="both"/>
            </w:pPr>
            <w:r>
              <w:t>Community Services and Health</w:t>
            </w:r>
          </w:p>
          <w:p w:rsidR="00FA1D70" w:rsidRDefault="00FA1D70" w:rsidP="00FA1D70">
            <w:pPr>
              <w:jc w:val="both"/>
            </w:pPr>
            <w:r>
              <w:t>Manufacturing and Engineering</w:t>
            </w:r>
          </w:p>
          <w:p w:rsidR="00FA1D70" w:rsidRDefault="00FA1D70" w:rsidP="00FA1D70">
            <w:pPr>
              <w:jc w:val="both"/>
            </w:pPr>
            <w:r>
              <w:t>Sport and Recreation</w:t>
            </w:r>
          </w:p>
        </w:tc>
      </w:tr>
      <w:tr w:rsidR="00FA1D70" w:rsidTr="00FA1D70">
        <w:tc>
          <w:tcPr>
            <w:tcW w:w="4873" w:type="dxa"/>
          </w:tcPr>
          <w:p w:rsidR="00FA1D70" w:rsidRDefault="00FA1D70" w:rsidP="00FA1D70">
            <w:pPr>
              <w:jc w:val="both"/>
            </w:pPr>
            <w:r>
              <w:t>Using Persuasive Language Verbally</w:t>
            </w:r>
          </w:p>
        </w:tc>
        <w:tc>
          <w:tcPr>
            <w:tcW w:w="4874" w:type="dxa"/>
          </w:tcPr>
          <w:p w:rsidR="00FA1D70" w:rsidRDefault="00FA1D70" w:rsidP="00FA1D70">
            <w:pPr>
              <w:jc w:val="both"/>
            </w:pPr>
            <w:r>
              <w:t>Building and Construction</w:t>
            </w:r>
          </w:p>
          <w:p w:rsidR="00FA1D70" w:rsidRDefault="00FA1D70" w:rsidP="00FA1D70">
            <w:pPr>
              <w:jc w:val="both"/>
            </w:pPr>
            <w:r>
              <w:t>Manufacturing and Engineering</w:t>
            </w:r>
          </w:p>
        </w:tc>
      </w:tr>
    </w:tbl>
    <w:p w:rsidR="00CF0ADD" w:rsidRDefault="00CF0ADD" w:rsidP="00BD2412">
      <w:pPr>
        <w:pStyle w:val="VCAAHeading4"/>
      </w:pPr>
      <w:r>
        <w:t xml:space="preserve">Further </w:t>
      </w:r>
      <w:r w:rsidR="003741BD">
        <w:t>r</w:t>
      </w:r>
      <w:r>
        <w:t>esources</w:t>
      </w:r>
    </w:p>
    <w:p w:rsidR="008C25A4" w:rsidRDefault="00CF0ADD" w:rsidP="00DC715B">
      <w:pPr>
        <w:pStyle w:val="VCAAbullet"/>
      </w:pPr>
      <w:r>
        <w:t xml:space="preserve">VCE VET programs and VCE </w:t>
      </w:r>
      <w:r w:rsidR="00706448">
        <w:t>s</w:t>
      </w:r>
      <w:r>
        <w:t xml:space="preserve">tudy </w:t>
      </w:r>
      <w:r w:rsidR="00706448">
        <w:t>d</w:t>
      </w:r>
      <w:r>
        <w:t>esigns are available on the VCAA website:</w:t>
      </w:r>
      <w:r w:rsidR="00DE1ABC">
        <w:t xml:space="preserve"> </w:t>
      </w:r>
    </w:p>
    <w:p w:rsidR="008C25A4" w:rsidRDefault="00DE1ABC" w:rsidP="008C25A4">
      <w:pPr>
        <w:pStyle w:val="VCAAbulletlevel2"/>
      </w:pPr>
      <w:r>
        <w:t>&lt;</w:t>
      </w:r>
      <w:hyperlink r:id="rId10" w:history="1">
        <w:r w:rsidR="008C25A4" w:rsidRPr="00EA311D">
          <w:rPr>
            <w:rStyle w:val="Hyperlink"/>
          </w:rPr>
          <w:t>www.vcaa.vic.edu.au/Pages/vce/studies/index.aspx</w:t>
        </w:r>
      </w:hyperlink>
      <w:r>
        <w:t>&gt;</w:t>
      </w:r>
    </w:p>
    <w:p w:rsidR="00CF0ADD" w:rsidRDefault="008C25A4" w:rsidP="008C25A4">
      <w:pPr>
        <w:pStyle w:val="VCAAbulletlevel2"/>
      </w:pPr>
      <w:r>
        <w:t>&lt;</w:t>
      </w:r>
      <w:hyperlink r:id="rId11" w:history="1">
        <w:r w:rsidRPr="00EA311D">
          <w:rPr>
            <w:rStyle w:val="Hyperlink"/>
          </w:rPr>
          <w:t>www.vcaa.vic.edu.au/Pages/vet/programs/index.aspx</w:t>
        </w:r>
      </w:hyperlink>
      <w:r>
        <w:t>&gt;</w:t>
      </w:r>
      <w:r w:rsidR="00DE1ABC">
        <w:t>.</w:t>
      </w:r>
    </w:p>
    <w:p w:rsidR="00CF0ADD" w:rsidRDefault="00CF0ADD" w:rsidP="00DC715B">
      <w:pPr>
        <w:pStyle w:val="VCAAbullet"/>
      </w:pPr>
      <w:r>
        <w:t>To search for a VET qualification, unit of competency or module, go to:</w:t>
      </w:r>
    </w:p>
    <w:p w:rsidR="00CF0ADD" w:rsidRDefault="00CF0ADD" w:rsidP="00DC715B">
      <w:pPr>
        <w:pStyle w:val="VCAAbulletlevel2"/>
        <w:spacing w:before="0" w:after="120"/>
      </w:pPr>
      <w:r>
        <w:t>Training.gov</w:t>
      </w:r>
      <w:r w:rsidR="00D63686">
        <w:t>.au</w:t>
      </w:r>
      <w:r>
        <w:t xml:space="preserve"> for training package qualifications </w:t>
      </w:r>
      <w:r w:rsidR="00DE1ABC">
        <w:t>and units of competency: &lt;</w:t>
      </w:r>
      <w:hyperlink r:id="rId12" w:history="1">
        <w:r w:rsidRPr="00DE1ABC">
          <w:rPr>
            <w:rStyle w:val="Hyperlink"/>
          </w:rPr>
          <w:t>training.gov.au/Home/</w:t>
        </w:r>
        <w:proofErr w:type="spellStart"/>
        <w:r w:rsidRPr="00DE1ABC">
          <w:rPr>
            <w:rStyle w:val="Hyperlink"/>
          </w:rPr>
          <w:t>Tga</w:t>
        </w:r>
        <w:proofErr w:type="spellEnd"/>
      </w:hyperlink>
      <w:r w:rsidR="00DE1ABC">
        <w:t>&gt;.</w:t>
      </w:r>
    </w:p>
    <w:p w:rsidR="002647BB" w:rsidRPr="006B1E48" w:rsidRDefault="00CF0ADD" w:rsidP="00DC715B">
      <w:pPr>
        <w:pStyle w:val="VCAAbulletlevel2"/>
        <w:rPr>
          <w:noProof/>
          <w:sz w:val="18"/>
          <w:szCs w:val="18"/>
        </w:rPr>
      </w:pPr>
      <w:r>
        <w:t xml:space="preserve">Department of Education and Training </w:t>
      </w:r>
      <w:r w:rsidR="006238ED">
        <w:t>for</w:t>
      </w:r>
      <w:r>
        <w:t xml:space="preserve"> Victorian</w:t>
      </w:r>
      <w:r w:rsidR="00E07361">
        <w:t>-accredited</w:t>
      </w:r>
      <w:r>
        <w:t xml:space="preserve"> qualifications and modules</w:t>
      </w:r>
      <w:r w:rsidR="00DE1ABC">
        <w:t>: &lt;</w:t>
      </w:r>
      <w:hyperlink r:id="rId13" w:history="1">
        <w:r w:rsidR="00DE1ABC" w:rsidRPr="00116B92">
          <w:rPr>
            <w:rStyle w:val="Hyperlink"/>
          </w:rPr>
          <w:t>www.education.vic.gov.au/training/providers/rto/Pages/courses.aspx</w:t>
        </w:r>
      </w:hyperlink>
      <w:r w:rsidR="00DE1ABC">
        <w:t>&gt;.</w:t>
      </w:r>
    </w:p>
    <w:p w:rsidR="006B1E48" w:rsidRPr="00BD2412" w:rsidRDefault="006B1E48" w:rsidP="006B1E48">
      <w:pPr>
        <w:pStyle w:val="VCAAbody"/>
        <w:rPr>
          <w:noProof/>
        </w:rPr>
      </w:pPr>
    </w:p>
    <w:sectPr w:rsidR="006B1E48" w:rsidRPr="00BD2412" w:rsidSect="00970580">
      <w:headerReference w:type="default" r:id="rId14"/>
      <w:footerReference w:type="default" r:id="rId15"/>
      <w:headerReference w:type="first" r:id="rId16"/>
      <w:footerReference w:type="first" r:id="rId17"/>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41" w:rsidRDefault="002B4941" w:rsidP="00304EA1">
      <w:pPr>
        <w:spacing w:after="0" w:line="240" w:lineRule="auto"/>
      </w:pPr>
      <w:r>
        <w:separator/>
      </w:r>
    </w:p>
  </w:endnote>
  <w:endnote w:type="continuationSeparator" w:id="0">
    <w:p w:rsidR="002B4941" w:rsidRDefault="002B494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20" w:rsidRPr="00243F0D" w:rsidRDefault="006B0B20"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CA5A91">
      <w:rPr>
        <w:noProof/>
      </w:rPr>
      <w:t>2</w:t>
    </w:r>
    <w:r w:rsidRPr="00B4195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20" w:rsidRDefault="006B0B20"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69A3528E" wp14:editId="39A301D4">
          <wp:extent cx="649225" cy="367734"/>
          <wp:effectExtent l="0" t="0" r="0" b="0"/>
          <wp:docPr id="6" name="Picture 6"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41" w:rsidRDefault="002B4941" w:rsidP="00304EA1">
      <w:pPr>
        <w:spacing w:after="0" w:line="240" w:lineRule="auto"/>
      </w:pPr>
      <w:r>
        <w:separator/>
      </w:r>
    </w:p>
  </w:footnote>
  <w:footnote w:type="continuationSeparator" w:id="0">
    <w:p w:rsidR="002B4941" w:rsidRDefault="002B4941"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20" w:rsidRPr="00D86DE4" w:rsidRDefault="006B0B20" w:rsidP="00D86DE4">
    <w:pPr>
      <w:pStyle w:val="VCAAcaptionsandfootnotes"/>
      <w:rPr>
        <w:color w:val="999999" w:themeColor="accent2"/>
      </w:rPr>
    </w:pPr>
    <w:r>
      <w:rPr>
        <w:color w:val="999999" w:themeColor="accent2"/>
      </w:rPr>
      <w:t>Industry Pathways in the VCE and VCAL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20" w:rsidRPr="009370BC" w:rsidRDefault="006B0B20" w:rsidP="00970580">
    <w:pPr>
      <w:spacing w:after="0"/>
      <w:ind w:right="-142"/>
      <w:jc w:val="right"/>
    </w:pPr>
    <w:r>
      <w:rPr>
        <w:noProof/>
        <w:lang w:val="en-AU" w:eastAsia="en-AU"/>
      </w:rPr>
      <w:drawing>
        <wp:inline distT="0" distB="0" distL="0" distR="0" wp14:anchorId="6AA9443A" wp14:editId="7AAB516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A5196F"/>
    <w:multiLevelType w:val="hybridMultilevel"/>
    <w:tmpl w:val="8C88BF98"/>
    <w:lvl w:ilvl="0" w:tplc="959A9D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A40C0"/>
    <w:multiLevelType w:val="hybridMultilevel"/>
    <w:tmpl w:val="78827D1C"/>
    <w:lvl w:ilvl="0" w:tplc="959A9D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62872B6C"/>
    <w:multiLevelType w:val="hybridMultilevel"/>
    <w:tmpl w:val="AF82B4C6"/>
    <w:lvl w:ilvl="0" w:tplc="9A760DAA">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nsid w:val="6EA45E1B"/>
    <w:multiLevelType w:val="hybridMultilevel"/>
    <w:tmpl w:val="EE20F7C6"/>
    <w:lvl w:ilvl="0" w:tplc="959A9D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D6FC9"/>
    <w:multiLevelType w:val="hybridMultilevel"/>
    <w:tmpl w:val="8E6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documentProtection w:edit="readOnly" w:enforcement="1" w:cryptProviderType="rsaFull" w:cryptAlgorithmClass="hash" w:cryptAlgorithmType="typeAny" w:cryptAlgorithmSid="4" w:cryptSpinCount="100000" w:hash="l6YAta4wLouz72AQVQqzD8j5GxA=" w:salt="vopwKPbjyFGnzv7J0Nkg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1C"/>
    <w:rsid w:val="00003885"/>
    <w:rsid w:val="000271F0"/>
    <w:rsid w:val="0005780E"/>
    <w:rsid w:val="00065CC6"/>
    <w:rsid w:val="00084F7D"/>
    <w:rsid w:val="000A71F7"/>
    <w:rsid w:val="000C71A1"/>
    <w:rsid w:val="000F09E4"/>
    <w:rsid w:val="000F16FD"/>
    <w:rsid w:val="001325A5"/>
    <w:rsid w:val="00151757"/>
    <w:rsid w:val="002279BA"/>
    <w:rsid w:val="002329F3"/>
    <w:rsid w:val="00243F0D"/>
    <w:rsid w:val="002647BB"/>
    <w:rsid w:val="002754C1"/>
    <w:rsid w:val="002841C8"/>
    <w:rsid w:val="0028516B"/>
    <w:rsid w:val="002B4941"/>
    <w:rsid w:val="002C6F90"/>
    <w:rsid w:val="002E4FB5"/>
    <w:rsid w:val="00302FB8"/>
    <w:rsid w:val="00304EA1"/>
    <w:rsid w:val="00314D81"/>
    <w:rsid w:val="00316774"/>
    <w:rsid w:val="00322FC6"/>
    <w:rsid w:val="00335BD8"/>
    <w:rsid w:val="00352C69"/>
    <w:rsid w:val="00367C2A"/>
    <w:rsid w:val="003741BD"/>
    <w:rsid w:val="00391986"/>
    <w:rsid w:val="003A00B4"/>
    <w:rsid w:val="003E558D"/>
    <w:rsid w:val="004042CE"/>
    <w:rsid w:val="00417AA3"/>
    <w:rsid w:val="00440B32"/>
    <w:rsid w:val="004564AE"/>
    <w:rsid w:val="0046078D"/>
    <w:rsid w:val="004A2ED8"/>
    <w:rsid w:val="004D4F9D"/>
    <w:rsid w:val="004F5BDA"/>
    <w:rsid w:val="00501518"/>
    <w:rsid w:val="0051631E"/>
    <w:rsid w:val="0052119E"/>
    <w:rsid w:val="00537A1F"/>
    <w:rsid w:val="00566029"/>
    <w:rsid w:val="005923CB"/>
    <w:rsid w:val="005B0D26"/>
    <w:rsid w:val="005B391B"/>
    <w:rsid w:val="005D3D78"/>
    <w:rsid w:val="005E2EF0"/>
    <w:rsid w:val="005E6350"/>
    <w:rsid w:val="006238ED"/>
    <w:rsid w:val="0062721C"/>
    <w:rsid w:val="0067666F"/>
    <w:rsid w:val="0068471E"/>
    <w:rsid w:val="00684F98"/>
    <w:rsid w:val="006939BE"/>
    <w:rsid w:val="00693FFD"/>
    <w:rsid w:val="006B0B20"/>
    <w:rsid w:val="006B1E48"/>
    <w:rsid w:val="006D2159"/>
    <w:rsid w:val="006F787C"/>
    <w:rsid w:val="00702636"/>
    <w:rsid w:val="00706448"/>
    <w:rsid w:val="00724507"/>
    <w:rsid w:val="00761C08"/>
    <w:rsid w:val="00773E6C"/>
    <w:rsid w:val="00777AF2"/>
    <w:rsid w:val="00781FB1"/>
    <w:rsid w:val="007E588F"/>
    <w:rsid w:val="00813C37"/>
    <w:rsid w:val="008154B5"/>
    <w:rsid w:val="00823962"/>
    <w:rsid w:val="00825676"/>
    <w:rsid w:val="00852719"/>
    <w:rsid w:val="00860115"/>
    <w:rsid w:val="00874890"/>
    <w:rsid w:val="0088783C"/>
    <w:rsid w:val="00891042"/>
    <w:rsid w:val="008C25A4"/>
    <w:rsid w:val="008D331B"/>
    <w:rsid w:val="009370BC"/>
    <w:rsid w:val="00970580"/>
    <w:rsid w:val="0098739B"/>
    <w:rsid w:val="009B61E5"/>
    <w:rsid w:val="009C6E97"/>
    <w:rsid w:val="009D1E89"/>
    <w:rsid w:val="00A025BD"/>
    <w:rsid w:val="00A14F5C"/>
    <w:rsid w:val="00A17661"/>
    <w:rsid w:val="00A24B2D"/>
    <w:rsid w:val="00A40966"/>
    <w:rsid w:val="00A5776B"/>
    <w:rsid w:val="00A921E0"/>
    <w:rsid w:val="00AF051B"/>
    <w:rsid w:val="00B01578"/>
    <w:rsid w:val="00B0738F"/>
    <w:rsid w:val="00B24C9D"/>
    <w:rsid w:val="00B26601"/>
    <w:rsid w:val="00B41951"/>
    <w:rsid w:val="00B51480"/>
    <w:rsid w:val="00B53229"/>
    <w:rsid w:val="00B62480"/>
    <w:rsid w:val="00B81B70"/>
    <w:rsid w:val="00B95C87"/>
    <w:rsid w:val="00BD0724"/>
    <w:rsid w:val="00BD2412"/>
    <w:rsid w:val="00BD2B91"/>
    <w:rsid w:val="00BE5521"/>
    <w:rsid w:val="00C53263"/>
    <w:rsid w:val="00C75F1D"/>
    <w:rsid w:val="00C8306B"/>
    <w:rsid w:val="00CA5A91"/>
    <w:rsid w:val="00CB68E8"/>
    <w:rsid w:val="00CF0ADD"/>
    <w:rsid w:val="00D245D5"/>
    <w:rsid w:val="00D338E4"/>
    <w:rsid w:val="00D42AAF"/>
    <w:rsid w:val="00D51947"/>
    <w:rsid w:val="00D52F72"/>
    <w:rsid w:val="00D532F0"/>
    <w:rsid w:val="00D63686"/>
    <w:rsid w:val="00D77413"/>
    <w:rsid w:val="00D82759"/>
    <w:rsid w:val="00D86DE4"/>
    <w:rsid w:val="00DC715B"/>
    <w:rsid w:val="00DE1ABC"/>
    <w:rsid w:val="00E07361"/>
    <w:rsid w:val="00E23F1D"/>
    <w:rsid w:val="00E35EE7"/>
    <w:rsid w:val="00E36361"/>
    <w:rsid w:val="00E55AE9"/>
    <w:rsid w:val="00E66885"/>
    <w:rsid w:val="00E6797F"/>
    <w:rsid w:val="00E847BA"/>
    <w:rsid w:val="00E94E10"/>
    <w:rsid w:val="00EA311D"/>
    <w:rsid w:val="00F375CB"/>
    <w:rsid w:val="00F40D53"/>
    <w:rsid w:val="00F4525C"/>
    <w:rsid w:val="00F50D86"/>
    <w:rsid w:val="00FA1D70"/>
    <w:rsid w:val="00FD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761C08"/>
    <w:rPr>
      <w:color w:val="000000" w:themeColor="text1"/>
    </w:rPr>
  </w:style>
  <w:style w:type="paragraph" w:customStyle="1" w:styleId="VCAAbullet">
    <w:name w:val="VCAA bullet"/>
    <w:basedOn w:val="VCAAbody"/>
    <w:autoRedefine/>
    <w:qFormat/>
    <w:rsid w:val="00DC715B"/>
    <w:pPr>
      <w:numPr>
        <w:numId w:val="1"/>
      </w:numPr>
      <w:tabs>
        <w:tab w:val="left" w:pos="284"/>
      </w:tabs>
      <w:spacing w:after="0"/>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9C6E97"/>
    <w:rPr>
      <w:sz w:val="16"/>
      <w:szCs w:val="16"/>
    </w:rPr>
  </w:style>
  <w:style w:type="paragraph" w:styleId="CommentText">
    <w:name w:val="annotation text"/>
    <w:basedOn w:val="Normal"/>
    <w:link w:val="CommentTextChar"/>
    <w:uiPriority w:val="99"/>
    <w:semiHidden/>
    <w:unhideWhenUsed/>
    <w:rsid w:val="009C6E97"/>
    <w:pPr>
      <w:spacing w:line="240" w:lineRule="auto"/>
    </w:pPr>
    <w:rPr>
      <w:sz w:val="20"/>
      <w:szCs w:val="20"/>
    </w:rPr>
  </w:style>
  <w:style w:type="character" w:customStyle="1" w:styleId="CommentTextChar">
    <w:name w:val="Comment Text Char"/>
    <w:basedOn w:val="DefaultParagraphFont"/>
    <w:link w:val="CommentText"/>
    <w:uiPriority w:val="99"/>
    <w:semiHidden/>
    <w:rsid w:val="009C6E97"/>
    <w:rPr>
      <w:sz w:val="20"/>
      <w:szCs w:val="20"/>
    </w:rPr>
  </w:style>
  <w:style w:type="paragraph" w:styleId="CommentSubject">
    <w:name w:val="annotation subject"/>
    <w:basedOn w:val="CommentText"/>
    <w:next w:val="CommentText"/>
    <w:link w:val="CommentSubjectChar"/>
    <w:uiPriority w:val="99"/>
    <w:semiHidden/>
    <w:unhideWhenUsed/>
    <w:rsid w:val="009C6E97"/>
    <w:rPr>
      <w:b/>
      <w:bCs/>
    </w:rPr>
  </w:style>
  <w:style w:type="character" w:customStyle="1" w:styleId="CommentSubjectChar">
    <w:name w:val="Comment Subject Char"/>
    <w:basedOn w:val="CommentTextChar"/>
    <w:link w:val="CommentSubject"/>
    <w:uiPriority w:val="99"/>
    <w:semiHidden/>
    <w:rsid w:val="009C6E97"/>
    <w:rPr>
      <w:b/>
      <w:bCs/>
      <w:sz w:val="20"/>
      <w:szCs w:val="20"/>
    </w:rPr>
  </w:style>
  <w:style w:type="character" w:styleId="FollowedHyperlink">
    <w:name w:val="FollowedHyperlink"/>
    <w:basedOn w:val="DefaultParagraphFont"/>
    <w:uiPriority w:val="99"/>
    <w:semiHidden/>
    <w:unhideWhenUsed/>
    <w:rsid w:val="00706448"/>
    <w:rPr>
      <w:color w:val="8DB3E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761C08"/>
    <w:rPr>
      <w:color w:val="000000" w:themeColor="text1"/>
    </w:rPr>
  </w:style>
  <w:style w:type="paragraph" w:customStyle="1" w:styleId="VCAAbullet">
    <w:name w:val="VCAA bullet"/>
    <w:basedOn w:val="VCAAbody"/>
    <w:autoRedefine/>
    <w:qFormat/>
    <w:rsid w:val="00DC715B"/>
    <w:pPr>
      <w:numPr>
        <w:numId w:val="1"/>
      </w:numPr>
      <w:tabs>
        <w:tab w:val="left" w:pos="284"/>
      </w:tabs>
      <w:spacing w:after="0"/>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9C6E97"/>
    <w:rPr>
      <w:sz w:val="16"/>
      <w:szCs w:val="16"/>
    </w:rPr>
  </w:style>
  <w:style w:type="paragraph" w:styleId="CommentText">
    <w:name w:val="annotation text"/>
    <w:basedOn w:val="Normal"/>
    <w:link w:val="CommentTextChar"/>
    <w:uiPriority w:val="99"/>
    <w:semiHidden/>
    <w:unhideWhenUsed/>
    <w:rsid w:val="009C6E97"/>
    <w:pPr>
      <w:spacing w:line="240" w:lineRule="auto"/>
    </w:pPr>
    <w:rPr>
      <w:sz w:val="20"/>
      <w:szCs w:val="20"/>
    </w:rPr>
  </w:style>
  <w:style w:type="character" w:customStyle="1" w:styleId="CommentTextChar">
    <w:name w:val="Comment Text Char"/>
    <w:basedOn w:val="DefaultParagraphFont"/>
    <w:link w:val="CommentText"/>
    <w:uiPriority w:val="99"/>
    <w:semiHidden/>
    <w:rsid w:val="009C6E97"/>
    <w:rPr>
      <w:sz w:val="20"/>
      <w:szCs w:val="20"/>
    </w:rPr>
  </w:style>
  <w:style w:type="paragraph" w:styleId="CommentSubject">
    <w:name w:val="annotation subject"/>
    <w:basedOn w:val="CommentText"/>
    <w:next w:val="CommentText"/>
    <w:link w:val="CommentSubjectChar"/>
    <w:uiPriority w:val="99"/>
    <w:semiHidden/>
    <w:unhideWhenUsed/>
    <w:rsid w:val="009C6E97"/>
    <w:rPr>
      <w:b/>
      <w:bCs/>
    </w:rPr>
  </w:style>
  <w:style w:type="character" w:customStyle="1" w:styleId="CommentSubjectChar">
    <w:name w:val="Comment Subject Char"/>
    <w:basedOn w:val="CommentTextChar"/>
    <w:link w:val="CommentSubject"/>
    <w:uiPriority w:val="99"/>
    <w:semiHidden/>
    <w:rsid w:val="009C6E97"/>
    <w:rPr>
      <w:b/>
      <w:bCs/>
      <w:sz w:val="20"/>
      <w:szCs w:val="20"/>
    </w:rPr>
  </w:style>
  <w:style w:type="character" w:styleId="FollowedHyperlink">
    <w:name w:val="FollowedHyperlink"/>
    <w:basedOn w:val="DefaultParagraphFont"/>
    <w:uiPriority w:val="99"/>
    <w:semiHidden/>
    <w:unhideWhenUsed/>
    <w:rsid w:val="00706448"/>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vic.gov.au/training/providers/rto/Pages/courses.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training.gov.au/Home/Tg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caa.vic.edu.au/Pages/vet/programs/index.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caa.vic.edu.au/Pages/vce/studies/index.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et.vcaa@edumail.vic.gov.au"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E51D-C400-4C18-A660-F584DC7667AA}"/>
</file>

<file path=customXml/itemProps2.xml><?xml version="1.0" encoding="utf-8"?>
<ds:datastoreItem xmlns:ds="http://schemas.openxmlformats.org/officeDocument/2006/customXml" ds:itemID="{41FFB733-07D1-4342-8398-C335CD9847F8}"/>
</file>

<file path=customXml/itemProps3.xml><?xml version="1.0" encoding="utf-8"?>
<ds:datastoreItem xmlns:ds="http://schemas.openxmlformats.org/officeDocument/2006/customXml" ds:itemID="{406D3F8D-EB3E-4BBD-9B50-8969C76F494F}"/>
</file>

<file path=customXml/itemProps4.xml><?xml version="1.0" encoding="utf-8"?>
<ds:datastoreItem xmlns:ds="http://schemas.openxmlformats.org/officeDocument/2006/customXml" ds:itemID="{7DCC017D-0710-415C-8AE8-7A38C126A1A5}"/>
</file>

<file path=docProps/app.xml><?xml version="1.0" encoding="utf-8"?>
<Properties xmlns="http://schemas.openxmlformats.org/officeDocument/2006/extended-properties" xmlns:vt="http://schemas.openxmlformats.org/officeDocument/2006/docPropsVTypes">
  <Template>VCAAA4portrait.dotx</Template>
  <TotalTime>8</TotalTime>
  <Pages>1</Pages>
  <Words>1462</Words>
  <Characters>8338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Industry Pathways in the VCE and VCAL: Resources for English Teachers – Introduction</vt:lpstr>
    </vt:vector>
  </TitlesOfParts>
  <Company>Victorian Curriculum and Assessment Authority</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Pathways in the VCE and VCAL: Resources for English Teachers – Introduction</dc:title>
  <dc:creator>Bouwer, Anton P;Victorian Curriculum and Assessment Authority (VCAA)</dc:creator>
  <cp:keywords>Industry Pathways in the VCE and VCAL: Resources for English Teachers – Introduction; Industry Pathways; English; VCE; VCE VET; VET; </cp:keywords>
  <dc:description>Industry Pathways in the VCE and VCAL: Resources for English Teachers – Introduction; Industry Pathways; English; VCE; VCE VET; VET; </dc:description>
  <cp:lastModifiedBy>Bouwer, Anton P</cp:lastModifiedBy>
  <cp:revision>5</cp:revision>
  <cp:lastPrinted>2015-05-15T02:36:00Z</cp:lastPrinted>
  <dcterms:created xsi:type="dcterms:W3CDTF">2016-01-19T04:39:00Z</dcterms:created>
  <dcterms:modified xsi:type="dcterms:W3CDTF">2016-01-19T04:46:00Z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