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652DD0C" w:rsidR="00086CFC" w:rsidRDefault="00C2005D" w:rsidP="00EE2DDF">
      <w:pPr>
        <w:pStyle w:val="VCAAHeading1"/>
      </w:pPr>
      <w:r>
        <w:t>E</w:t>
      </w:r>
      <w:r w:rsidR="00E56D1D">
        <w:t>m</w:t>
      </w:r>
      <w:r w:rsidR="007E7D1F">
        <w:t xml:space="preserve">bedding career education in </w:t>
      </w:r>
      <w:r w:rsidR="00E56D1D">
        <w:t>the Victorian Curriculum F–10</w:t>
      </w:r>
      <w:r w:rsidR="00086CFC">
        <w:t xml:space="preserve"> </w:t>
      </w:r>
    </w:p>
    <w:p w14:paraId="309AA2D5" w14:textId="51C3B33C" w:rsidR="004F6DE0" w:rsidRPr="008C0A84" w:rsidRDefault="006230A4" w:rsidP="004F6DE0">
      <w:pPr>
        <w:pStyle w:val="VCAAHeading2"/>
        <w:rPr>
          <w:lang w:val="en-AU"/>
        </w:rPr>
      </w:pPr>
      <w:bookmarkStart w:id="0" w:name="TemplateOverview"/>
      <w:bookmarkEnd w:id="0"/>
      <w:r>
        <w:rPr>
          <w:lang w:val="en-AU"/>
        </w:rPr>
        <w:t>Civics and Citizenship</w:t>
      </w:r>
      <w:r w:rsidR="004F6DE0" w:rsidRPr="008C0A84">
        <w:rPr>
          <w:lang w:val="en-AU"/>
        </w:rPr>
        <w:t xml:space="preserve">, Levels </w:t>
      </w:r>
      <w:r>
        <w:rPr>
          <w:lang w:val="en-AU"/>
        </w:rPr>
        <w:t>9</w:t>
      </w:r>
      <w:r w:rsidR="004F6DE0" w:rsidRPr="008C0A84">
        <w:rPr>
          <w:lang w:val="en-AU"/>
        </w:rPr>
        <w:t xml:space="preserve"> and </w:t>
      </w:r>
      <w:r>
        <w:rPr>
          <w:lang w:val="en-AU"/>
        </w:rPr>
        <w:t>10</w:t>
      </w:r>
    </w:p>
    <w:p w14:paraId="2E354ED1" w14:textId="3E7AC04B"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A287C1D" w:rsidR="008B1278" w:rsidRPr="008C0A84" w:rsidRDefault="008B1278" w:rsidP="00EE2DDF">
      <w:pPr>
        <w:pStyle w:val="VCAAbody-withlargetabandhangingindent"/>
      </w:pPr>
      <w:r w:rsidRPr="008C0A84">
        <w:rPr>
          <w:b/>
        </w:rPr>
        <w:t>Curriculum area and levels:</w:t>
      </w:r>
      <w:r w:rsidRPr="008C0A84">
        <w:tab/>
      </w:r>
      <w:r w:rsidR="006230A4">
        <w:t>Civics and Citizenship</w:t>
      </w:r>
      <w:r w:rsidRPr="008C0A84">
        <w:t xml:space="preserve">, Levels </w:t>
      </w:r>
      <w:r w:rsidR="006230A4">
        <w:t>9</w:t>
      </w:r>
      <w:r w:rsidRPr="008C0A84">
        <w:t xml:space="preserve"> and </w:t>
      </w:r>
      <w:r w:rsidR="006230A4">
        <w:t>10</w:t>
      </w:r>
    </w:p>
    <w:p w14:paraId="1FB5B60B" w14:textId="405AC53B" w:rsidR="008B1278" w:rsidRPr="008C0A84" w:rsidRDefault="00254888" w:rsidP="006230A4">
      <w:pPr>
        <w:pStyle w:val="VCAAbody-withlargetabandhangingindent"/>
      </w:pPr>
      <w:r w:rsidRPr="008C0A84">
        <w:rPr>
          <w:b/>
        </w:rPr>
        <w:t>Relevant c</w:t>
      </w:r>
      <w:r w:rsidR="008B1278" w:rsidRPr="008C0A84">
        <w:rPr>
          <w:b/>
        </w:rPr>
        <w:t>ontent description:</w:t>
      </w:r>
      <w:r w:rsidR="008B1278" w:rsidRPr="008C0A84">
        <w:tab/>
      </w:r>
      <w:r w:rsidR="00224379" w:rsidRPr="0018745D">
        <w:t>Describe the key features of Australia’s court system, including jurisdictions and how courts apply and interpret the law, resolve disputes and make law through judgments, and describe the role of the High Court in interpreting the Constitution</w:t>
      </w:r>
      <w:r w:rsidR="00224379" w:rsidRPr="008C0A84">
        <w:t xml:space="preserve"> </w:t>
      </w:r>
      <w:r w:rsidR="00224379">
        <w:t>(</w:t>
      </w:r>
      <w:hyperlink r:id="rId11" w:history="1">
        <w:r w:rsidR="00224379" w:rsidRPr="0018745D">
          <w:rPr>
            <w:rStyle w:val="Hyperlink"/>
          </w:rPr>
          <w:t>VCCCL033</w:t>
        </w:r>
      </w:hyperlink>
      <w:r w:rsidR="00224379">
        <w:t>)</w:t>
      </w:r>
      <w:r w:rsidR="00EE2DDF">
        <w:t>.</w:t>
      </w:r>
    </w:p>
    <w:p w14:paraId="36A2C730" w14:textId="561B02B1"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9806AE">
        <w:t>Visiting a court</w:t>
      </w:r>
      <w:r w:rsidR="00224379">
        <w:t xml:space="preserve"> to </w:t>
      </w:r>
      <w:r w:rsidR="00EE2DDF">
        <w:t>help</w:t>
      </w:r>
      <w:r w:rsidR="00224379">
        <w:t xml:space="preserve"> students describ</w:t>
      </w:r>
      <w:r w:rsidR="00EE2DDF">
        <w:t>e</w:t>
      </w:r>
      <w:r w:rsidR="00224379">
        <w:t xml:space="preserve"> the role of a particular court, such as the Supreme Court, County Court, or Magistrates</w:t>
      </w:r>
      <w:r w:rsidR="00973220">
        <w:t>’</w:t>
      </w:r>
      <w:r w:rsidR="00224379">
        <w:t xml:space="preserve"> Court.</w:t>
      </w:r>
    </w:p>
    <w:p w14:paraId="2364A01C" w14:textId="6ADD3349" w:rsidR="00421DB1" w:rsidRPr="008C0A84" w:rsidRDefault="00421DB1" w:rsidP="00B51FA6">
      <w:pPr>
        <w:pStyle w:val="VCAAbody-withlargetabandhangingindent"/>
      </w:pPr>
      <w:r w:rsidRPr="00AD6643">
        <w:rPr>
          <w:b/>
          <w:bCs/>
        </w:rPr>
        <w:t>Summary of adaptation, change, addition:</w:t>
      </w:r>
      <w:r>
        <w:tab/>
      </w:r>
      <w:r w:rsidR="009806AE" w:rsidRPr="00EE2DDF">
        <w:t xml:space="preserve">Considering and researching the variety of roles in the court system. </w:t>
      </w:r>
    </w:p>
    <w:p w14:paraId="65DFB73F" w14:textId="72EB4937" w:rsidR="00254888" w:rsidRDefault="00254888" w:rsidP="00EE2DDF">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2700DEBD" w14:textId="77777777" w:rsidR="00D03714" w:rsidRDefault="00F804D3" w:rsidP="00457521">
            <w:pPr>
              <w:pStyle w:val="VCAAtablecondensed"/>
              <w:rPr>
                <w:lang w:val="en-AU"/>
              </w:rPr>
            </w:pPr>
            <w:r>
              <w:rPr>
                <w:lang w:val="en-AU"/>
              </w:rPr>
              <w:t>Teacher plans an excursion to a court.</w:t>
            </w:r>
            <w:r w:rsidR="00A14093">
              <w:rPr>
                <w:lang w:val="en-AU"/>
              </w:rPr>
              <w:t xml:space="preserve"> </w:t>
            </w:r>
          </w:p>
          <w:p w14:paraId="46A85701" w14:textId="09E1A695" w:rsidR="00254888" w:rsidRPr="008C0A84" w:rsidRDefault="00A14093" w:rsidP="00457521">
            <w:pPr>
              <w:pStyle w:val="VCAAtablecondensed"/>
              <w:rPr>
                <w:lang w:val="en-AU"/>
              </w:rPr>
            </w:pPr>
            <w:r>
              <w:rPr>
                <w:lang w:val="en-AU"/>
              </w:rPr>
              <w:t xml:space="preserve">Alternatively, students can </w:t>
            </w:r>
            <w:r w:rsidR="00F27A11">
              <w:rPr>
                <w:lang w:val="en-AU"/>
              </w:rPr>
              <w:t>take</w:t>
            </w:r>
            <w:r>
              <w:rPr>
                <w:lang w:val="en-AU"/>
              </w:rPr>
              <w:t xml:space="preserve"> a virtual tour of the </w:t>
            </w:r>
            <w:hyperlink r:id="rId12" w:history="1">
              <w:r w:rsidR="00FF588C" w:rsidRPr="00FF588C">
                <w:rPr>
                  <w:rStyle w:val="Hyperlink"/>
                  <w:lang w:val="en-AU"/>
                </w:rPr>
                <w:t>County Court</w:t>
              </w:r>
            </w:hyperlink>
            <w:r>
              <w:rPr>
                <w:lang w:val="en-AU"/>
              </w:rPr>
              <w:t>.</w:t>
            </w:r>
          </w:p>
        </w:tc>
        <w:tc>
          <w:tcPr>
            <w:tcW w:w="5925" w:type="dxa"/>
          </w:tcPr>
          <w:p w14:paraId="675F75AF" w14:textId="0C1C2FC8" w:rsidR="00FF588C" w:rsidRDefault="00FF588C" w:rsidP="00B51FA6">
            <w:pPr>
              <w:pStyle w:val="VCAAtablecondensed"/>
              <w:rPr>
                <w:lang w:val="en-AU"/>
              </w:rPr>
            </w:pPr>
            <w:r>
              <w:rPr>
                <w:lang w:val="en-AU"/>
              </w:rPr>
              <w:t xml:space="preserve">Students attend the excursion/virtual tour with the intention of </w:t>
            </w:r>
            <w:r w:rsidR="00F27A11">
              <w:rPr>
                <w:lang w:val="en-AU"/>
              </w:rPr>
              <w:t>identifying</w:t>
            </w:r>
            <w:r>
              <w:rPr>
                <w:lang w:val="en-AU"/>
              </w:rPr>
              <w:t xml:space="preserve"> careers that can be </w:t>
            </w:r>
            <w:r w:rsidR="00F27A11">
              <w:rPr>
                <w:lang w:val="en-AU"/>
              </w:rPr>
              <w:t>seen</w:t>
            </w:r>
            <w:r>
              <w:rPr>
                <w:lang w:val="en-AU"/>
              </w:rPr>
              <w:t xml:space="preserve"> in the court, beyond those of lawyer </w:t>
            </w:r>
            <w:r w:rsidR="00486396">
              <w:rPr>
                <w:lang w:val="en-AU"/>
              </w:rPr>
              <w:t>and</w:t>
            </w:r>
            <w:r>
              <w:rPr>
                <w:lang w:val="en-AU"/>
              </w:rPr>
              <w:t xml:space="preserve"> judge</w:t>
            </w:r>
            <w:r w:rsidR="009240A6">
              <w:rPr>
                <w:lang w:val="en-AU"/>
              </w:rPr>
              <w:t>, which would already be familiar to students</w:t>
            </w:r>
            <w:r>
              <w:rPr>
                <w:lang w:val="en-AU"/>
              </w:rPr>
              <w:t>.</w:t>
            </w:r>
          </w:p>
          <w:p w14:paraId="092660B4" w14:textId="297A7FFA" w:rsidR="00D03714" w:rsidRPr="008C0A84" w:rsidRDefault="00AC2E4B">
            <w:pPr>
              <w:pStyle w:val="VCAAtablecondensed"/>
              <w:rPr>
                <w:lang w:val="en-AU"/>
              </w:rPr>
            </w:pPr>
            <w:r>
              <w:rPr>
                <w:lang w:val="en-AU"/>
              </w:rPr>
              <w:t xml:space="preserve">Teacher </w:t>
            </w:r>
            <w:r w:rsidR="00486396">
              <w:rPr>
                <w:lang w:val="en-AU"/>
              </w:rPr>
              <w:t>explains</w:t>
            </w:r>
            <w:r>
              <w:rPr>
                <w:lang w:val="en-AU"/>
              </w:rPr>
              <w:t xml:space="preserve"> that any conversations with </w:t>
            </w:r>
            <w:r w:rsidR="00486396">
              <w:rPr>
                <w:lang w:val="en-AU"/>
              </w:rPr>
              <w:t>court staff (e.g.</w:t>
            </w:r>
            <w:r w:rsidR="007D3B75">
              <w:rPr>
                <w:lang w:val="en-AU"/>
              </w:rPr>
              <w:t xml:space="preserve"> </w:t>
            </w:r>
            <w:r w:rsidR="00F804D3">
              <w:rPr>
                <w:lang w:val="en-AU"/>
              </w:rPr>
              <w:t xml:space="preserve">magistrate, judge, lawyer, </w:t>
            </w:r>
            <w:r w:rsidR="00486396">
              <w:rPr>
                <w:lang w:val="en-AU"/>
              </w:rPr>
              <w:t>judge’s associate</w:t>
            </w:r>
            <w:r w:rsidR="00F6547F">
              <w:rPr>
                <w:lang w:val="en-AU"/>
              </w:rPr>
              <w:t>)</w:t>
            </w:r>
            <w:r w:rsidR="009240A6">
              <w:rPr>
                <w:lang w:val="en-AU"/>
              </w:rPr>
              <w:t xml:space="preserve"> </w:t>
            </w:r>
            <w:r>
              <w:rPr>
                <w:lang w:val="en-AU"/>
              </w:rPr>
              <w:t xml:space="preserve">include </w:t>
            </w:r>
            <w:r w:rsidR="00F6547F">
              <w:rPr>
                <w:lang w:val="en-AU"/>
              </w:rPr>
              <w:t>questions that</w:t>
            </w:r>
            <w:r>
              <w:rPr>
                <w:lang w:val="en-AU"/>
              </w:rPr>
              <w:t xml:space="preserve"> focus on career-related information, such as </w:t>
            </w:r>
            <w:r w:rsidR="00F804D3">
              <w:rPr>
                <w:lang w:val="en-AU"/>
              </w:rPr>
              <w:t>their career pathways</w:t>
            </w:r>
            <w:r>
              <w:rPr>
                <w:lang w:val="en-AU"/>
              </w:rPr>
              <w:t xml:space="preserve">. </w:t>
            </w:r>
          </w:p>
        </w:tc>
      </w:tr>
      <w:tr w:rsidR="00254888" w:rsidRPr="008C0A84" w14:paraId="47C09381" w14:textId="77777777" w:rsidTr="00567FD3">
        <w:tc>
          <w:tcPr>
            <w:tcW w:w="3964" w:type="dxa"/>
          </w:tcPr>
          <w:p w14:paraId="123E135F" w14:textId="1B078C19" w:rsidR="00254888" w:rsidRPr="008C0A84" w:rsidRDefault="00F804D3" w:rsidP="00457521">
            <w:pPr>
              <w:pStyle w:val="VCAAtablecondensed"/>
              <w:rPr>
                <w:lang w:val="en-AU"/>
              </w:rPr>
            </w:pPr>
            <w:r>
              <w:rPr>
                <w:lang w:val="en-AU"/>
              </w:rPr>
              <w:t xml:space="preserve">Teacher develops worksheet, questions, or activities for students to </w:t>
            </w:r>
            <w:r w:rsidR="00F6547F">
              <w:rPr>
                <w:lang w:val="en-AU"/>
              </w:rPr>
              <w:t xml:space="preserve">complete that will provide information </w:t>
            </w:r>
            <w:r>
              <w:rPr>
                <w:lang w:val="en-AU"/>
              </w:rPr>
              <w:t>about the role of the court they are visiting.</w:t>
            </w:r>
            <w:r w:rsidR="00FF588C">
              <w:rPr>
                <w:lang w:val="en-AU"/>
              </w:rPr>
              <w:t xml:space="preserve"> Students answer as much </w:t>
            </w:r>
            <w:r w:rsidR="00F6547F">
              <w:rPr>
                <w:lang w:val="en-AU"/>
              </w:rPr>
              <w:t>as they can during</w:t>
            </w:r>
            <w:r w:rsidR="00FF588C">
              <w:rPr>
                <w:lang w:val="en-AU"/>
              </w:rPr>
              <w:t xml:space="preserve"> the tour and complete any missing information by </w:t>
            </w:r>
            <w:r w:rsidR="00F6547F">
              <w:rPr>
                <w:lang w:val="en-AU"/>
              </w:rPr>
              <w:t>researching</w:t>
            </w:r>
            <w:r w:rsidR="00FF588C">
              <w:rPr>
                <w:lang w:val="en-AU"/>
              </w:rPr>
              <w:t xml:space="preserve"> online.</w:t>
            </w:r>
          </w:p>
        </w:tc>
        <w:tc>
          <w:tcPr>
            <w:tcW w:w="5925" w:type="dxa"/>
          </w:tcPr>
          <w:p w14:paraId="7279DA82" w14:textId="3E8CE0E8" w:rsidR="00155F13" w:rsidRPr="00B74D78" w:rsidRDefault="00FF588C" w:rsidP="00B51FA6">
            <w:pPr>
              <w:pStyle w:val="VCAAtablecondensed"/>
              <w:rPr>
                <w:color w:val="auto"/>
                <w:lang w:val="en-AU"/>
              </w:rPr>
            </w:pPr>
            <w:r>
              <w:rPr>
                <w:lang w:val="en-AU"/>
              </w:rPr>
              <w:t xml:space="preserve">Teacher includes </w:t>
            </w:r>
            <w:r w:rsidR="00F804D3">
              <w:rPr>
                <w:lang w:val="en-AU"/>
              </w:rPr>
              <w:t>career</w:t>
            </w:r>
            <w:r>
              <w:rPr>
                <w:lang w:val="en-AU"/>
              </w:rPr>
              <w:t>-</w:t>
            </w:r>
            <w:r w:rsidR="00F804D3">
              <w:rPr>
                <w:lang w:val="en-AU"/>
              </w:rPr>
              <w:t xml:space="preserve">related questions. For example, in addition to asking students to describe the role of the court, ask students to reflect on the nature and type of </w:t>
            </w:r>
            <w:r w:rsidR="00A83E45">
              <w:rPr>
                <w:lang w:val="en-AU"/>
              </w:rPr>
              <w:t>roles</w:t>
            </w:r>
            <w:r w:rsidR="00F804D3">
              <w:rPr>
                <w:lang w:val="en-AU"/>
              </w:rPr>
              <w:t xml:space="preserve"> they </w:t>
            </w:r>
            <w:r w:rsidR="00A83E45">
              <w:rPr>
                <w:lang w:val="en-AU"/>
              </w:rPr>
              <w:t>saw, and the types of skills and knowledge required for each role</w:t>
            </w:r>
            <w:r w:rsidR="00F804D3">
              <w:rPr>
                <w:lang w:val="en-AU"/>
              </w:rPr>
              <w:t xml:space="preserve">. </w:t>
            </w:r>
            <w:r w:rsidR="00A83E45">
              <w:rPr>
                <w:lang w:val="en-AU"/>
              </w:rPr>
              <w:t>Teachers need to encourage st</w:t>
            </w:r>
            <w:r>
              <w:rPr>
                <w:lang w:val="en-AU"/>
              </w:rPr>
              <w:t xml:space="preserve">udents </w:t>
            </w:r>
            <w:r w:rsidR="00A83E45">
              <w:rPr>
                <w:lang w:val="en-AU"/>
              </w:rPr>
              <w:t>to include a variety of roles, beyond</w:t>
            </w:r>
            <w:r w:rsidR="00F804D3">
              <w:rPr>
                <w:lang w:val="en-AU"/>
              </w:rPr>
              <w:t xml:space="preserve"> </w:t>
            </w:r>
            <w:r w:rsidR="00A83E45">
              <w:rPr>
                <w:lang w:val="en-AU"/>
              </w:rPr>
              <w:t xml:space="preserve">the roles of </w:t>
            </w:r>
            <w:r w:rsidR="00F804D3">
              <w:rPr>
                <w:lang w:val="en-AU"/>
              </w:rPr>
              <w:t xml:space="preserve">lawyer and judge </w:t>
            </w:r>
            <w:r w:rsidR="00DC5CB7">
              <w:rPr>
                <w:lang w:val="en-AU"/>
              </w:rPr>
              <w:t xml:space="preserve">with which </w:t>
            </w:r>
            <w:r w:rsidR="00F804D3">
              <w:rPr>
                <w:lang w:val="en-AU"/>
              </w:rPr>
              <w:t xml:space="preserve">they are </w:t>
            </w:r>
            <w:r w:rsidR="00A83E45">
              <w:rPr>
                <w:lang w:val="en-AU"/>
              </w:rPr>
              <w:t xml:space="preserve">probably </w:t>
            </w:r>
            <w:r w:rsidR="00F804D3">
              <w:rPr>
                <w:lang w:val="en-AU"/>
              </w:rPr>
              <w:t>familiar.</w:t>
            </w:r>
            <w:r w:rsidR="009240A6">
              <w:rPr>
                <w:lang w:val="en-AU"/>
              </w:rPr>
              <w:t xml:space="preserve"> </w:t>
            </w:r>
          </w:p>
        </w:tc>
      </w:tr>
      <w:tr w:rsidR="00254888" w:rsidRPr="008C0A84" w14:paraId="3F7C9F0C" w14:textId="77777777" w:rsidTr="003E3E79">
        <w:tc>
          <w:tcPr>
            <w:tcW w:w="3964" w:type="dxa"/>
          </w:tcPr>
          <w:p w14:paraId="446FB8DB" w14:textId="44008127" w:rsidR="00254888" w:rsidRPr="008C0A84" w:rsidRDefault="00F804D3" w:rsidP="00B51FA6">
            <w:pPr>
              <w:pStyle w:val="VCAAtablecondensed"/>
              <w:rPr>
                <w:lang w:val="en-AU"/>
              </w:rPr>
            </w:pPr>
            <w:r>
              <w:rPr>
                <w:lang w:val="en-AU"/>
              </w:rPr>
              <w:t>Students observe a number of court cases</w:t>
            </w:r>
            <w:r w:rsidR="00FF588C">
              <w:rPr>
                <w:lang w:val="en-AU"/>
              </w:rPr>
              <w:t xml:space="preserve"> to gain </w:t>
            </w:r>
            <w:r w:rsidR="00A83E45">
              <w:rPr>
                <w:lang w:val="en-AU"/>
              </w:rPr>
              <w:t>an understanding of</w:t>
            </w:r>
            <w:r w:rsidR="00FF588C">
              <w:rPr>
                <w:lang w:val="en-AU"/>
              </w:rPr>
              <w:t xml:space="preserve"> court proceedings, who works in the court, and what their role is</w:t>
            </w:r>
            <w:r w:rsidR="003E3E79">
              <w:rPr>
                <w:lang w:val="en-AU"/>
              </w:rPr>
              <w:t>.</w:t>
            </w:r>
          </w:p>
        </w:tc>
        <w:tc>
          <w:tcPr>
            <w:tcW w:w="5925" w:type="dxa"/>
          </w:tcPr>
          <w:p w14:paraId="20D2B087" w14:textId="2C2FE5DE" w:rsidR="00254888" w:rsidRDefault="00F30E53" w:rsidP="00B51FA6">
            <w:pPr>
              <w:pStyle w:val="VCAAtablecondensed"/>
              <w:rPr>
                <w:lang w:val="en-AU"/>
              </w:rPr>
            </w:pPr>
            <w:r>
              <w:rPr>
                <w:lang w:val="en-AU"/>
              </w:rPr>
              <w:t>After the excursion or tour, students research in more detail the career pathways of the roles they have identified</w:t>
            </w:r>
            <w:r w:rsidR="00A83E45">
              <w:rPr>
                <w:lang w:val="en-AU"/>
              </w:rPr>
              <w:t xml:space="preserve">, and </w:t>
            </w:r>
            <w:r>
              <w:rPr>
                <w:lang w:val="en-AU"/>
              </w:rPr>
              <w:t>consider the skills and knowledge needed to be successful in the role.</w:t>
            </w:r>
            <w:r w:rsidR="009240A6">
              <w:rPr>
                <w:lang w:val="en-AU"/>
              </w:rPr>
              <w:t xml:space="preserve"> </w:t>
            </w:r>
          </w:p>
          <w:p w14:paraId="35BB36E2" w14:textId="63FC7520" w:rsidR="009240A6" w:rsidRDefault="00F30E53" w:rsidP="00B51FA6">
            <w:pPr>
              <w:pStyle w:val="VCAAtablecondensed"/>
              <w:rPr>
                <w:lang w:val="en-AU"/>
              </w:rPr>
            </w:pPr>
            <w:r>
              <w:rPr>
                <w:lang w:val="en-AU"/>
              </w:rPr>
              <w:lastRenderedPageBreak/>
              <w:t xml:space="preserve">As an extension, teacher could arrange a visit from someone working in the court system. Students plan questions to ask the guest speaker about their career journey and the challenges and benefits </w:t>
            </w:r>
            <w:r w:rsidR="00FA307A">
              <w:rPr>
                <w:lang w:val="en-AU"/>
              </w:rPr>
              <w:t>of</w:t>
            </w:r>
            <w:r>
              <w:rPr>
                <w:lang w:val="en-AU"/>
              </w:rPr>
              <w:t xml:space="preserve"> the role.</w:t>
            </w:r>
          </w:p>
          <w:p w14:paraId="0D137BAF" w14:textId="3DA798E9" w:rsidR="00F30E53" w:rsidRPr="00B74D78" w:rsidRDefault="00F30E53" w:rsidP="00B51FA6">
            <w:pPr>
              <w:pStyle w:val="VCAAtablecondensed"/>
              <w:rPr>
                <w:color w:val="auto"/>
                <w:lang w:val="en-AU"/>
              </w:rPr>
            </w:pPr>
            <w:r>
              <w:rPr>
                <w:lang w:val="en-AU"/>
              </w:rPr>
              <w:t xml:space="preserve">Teacher prompts students to reflect on the knowledge they have gained during the activity. For students interested in exploring a career in law, this reflection could include identifying opportunities and career pathways. </w:t>
            </w:r>
            <w:r w:rsidR="009C7420">
              <w:rPr>
                <w:lang w:val="en-AU"/>
              </w:rPr>
              <w:t>In addition</w:t>
            </w:r>
            <w:r w:rsidR="008942DD">
              <w:rPr>
                <w:lang w:val="en-AU"/>
              </w:rPr>
              <w:t>, all students can be supported to identify the skills they have used during the activity, such as gathering information, conducting themselves professionally, and communication skills.</w:t>
            </w:r>
          </w:p>
        </w:tc>
      </w:tr>
    </w:tbl>
    <w:p w14:paraId="3F52BE49" w14:textId="07049AF3"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A37E2DB" w14:textId="78F9C389" w:rsidR="00623CEC" w:rsidRDefault="00211816" w:rsidP="00EF1AB7">
      <w:pPr>
        <w:pStyle w:val="VCAAbullet"/>
      </w:pPr>
      <w:r>
        <w:t>School policy regarding excursions and school visits will need to be followed for this activity</w:t>
      </w:r>
      <w:r w:rsidR="00623CEC" w:rsidRPr="008C0A84">
        <w:t xml:space="preserve">. </w:t>
      </w:r>
    </w:p>
    <w:p w14:paraId="7B8C7A50" w14:textId="05891AB6" w:rsidR="008D57CA" w:rsidRPr="00DB533D" w:rsidRDefault="009240A6" w:rsidP="00EF1AB7">
      <w:pPr>
        <w:pStyle w:val="VCAAbullet"/>
      </w:pPr>
      <w:r>
        <w:t>For the extension, t</w:t>
      </w:r>
      <w:r w:rsidR="00623CEC" w:rsidRPr="008C0A84">
        <w:t xml:space="preserve">eachers will need to consider how they can </w:t>
      </w:r>
      <w:r w:rsidR="00623CEC">
        <w:t>arrange for a relevant guest speaker</w:t>
      </w:r>
      <w:r w:rsidR="00623CEC" w:rsidRPr="008C0A84">
        <w:t>.</w:t>
      </w:r>
      <w:r w:rsidR="00623CEC">
        <w:t xml:space="preserve"> </w:t>
      </w:r>
      <w:r>
        <w:t>An</w:t>
      </w:r>
      <w:r w:rsidR="00623CEC">
        <w:t xml:space="preserve"> excursion to the County or Supreme Court</w:t>
      </w:r>
      <w:r>
        <w:t xml:space="preserve"> arranged</w:t>
      </w:r>
      <w:r w:rsidR="00623CEC">
        <w:t xml:space="preserve"> through the Court Education Program will typically include a guest speaker. </w:t>
      </w:r>
    </w:p>
    <w:p w14:paraId="1FB1AEC5" w14:textId="23CAC45E" w:rsidR="008B1278" w:rsidRPr="00623CEC" w:rsidRDefault="00DB533D" w:rsidP="004F6DE0">
      <w:pPr>
        <w:pStyle w:val="VCAAHeading4"/>
      </w:pPr>
      <w:r>
        <w:t>Additional resources to help when adapting the</w:t>
      </w:r>
      <w:bookmarkStart w:id="1" w:name="_GoBack"/>
      <w:bookmarkEnd w:id="1"/>
      <w:r>
        <w:t xml:space="preserve"> learning activity </w:t>
      </w:r>
    </w:p>
    <w:p w14:paraId="47EFBD4D" w14:textId="44923856" w:rsidR="00D03714" w:rsidRPr="00EE2DDF" w:rsidRDefault="00623CEC" w:rsidP="00EF1AB7">
      <w:pPr>
        <w:pStyle w:val="VCAAbullet"/>
      </w:pPr>
      <w:r w:rsidRPr="00623CEC">
        <w:t xml:space="preserve">The </w:t>
      </w:r>
      <w:hyperlink r:id="rId13" w:history="1">
        <w:r w:rsidRPr="001C03A0">
          <w:rPr>
            <w:rStyle w:val="Hyperlink"/>
          </w:rPr>
          <w:t>Court Education Program</w:t>
        </w:r>
      </w:hyperlink>
    </w:p>
    <w:p w14:paraId="6297B1E4" w14:textId="5150E38A" w:rsidR="00D03714" w:rsidRPr="00821837" w:rsidRDefault="00821837" w:rsidP="00EF1AB7">
      <w:pPr>
        <w:pStyle w:val="VCAAbullet"/>
        <w:rPr>
          <w:rStyle w:val="Hyperlink"/>
        </w:rPr>
      </w:pPr>
      <w:r>
        <w:fldChar w:fldCharType="begin"/>
      </w:r>
      <w:r>
        <w:instrText xml:space="preserve"> HYPERLINK "https://www.countycourt.vic.gov.au/learn-about-court/educational-resources/virtual-tour" </w:instrText>
      </w:r>
      <w:r>
        <w:fldChar w:fldCharType="separate"/>
      </w:r>
      <w:r w:rsidR="001C03A0" w:rsidRPr="00821837">
        <w:rPr>
          <w:rStyle w:val="Hyperlink"/>
        </w:rPr>
        <w:t>County Court Victoria virtual tour</w:t>
      </w:r>
      <w:r w:rsidR="00A14093" w:rsidRPr="00821837">
        <w:rPr>
          <w:rStyle w:val="Hyperlink"/>
        </w:rPr>
        <w:t xml:space="preserve"> </w:t>
      </w:r>
    </w:p>
    <w:p w14:paraId="6750C4B9" w14:textId="3F29F4D6" w:rsidR="00D0091D" w:rsidRPr="00A0755E" w:rsidRDefault="00821837" w:rsidP="00EF1AB7">
      <w:pPr>
        <w:pStyle w:val="VCAAbullet"/>
        <w:rPr>
          <w:rStyle w:val="Hyperlink"/>
          <w:color w:val="auto"/>
          <w:u w:val="none"/>
        </w:rPr>
      </w:pPr>
      <w:r>
        <w:fldChar w:fldCharType="end"/>
      </w:r>
      <w:r w:rsidR="001C03A0">
        <w:t xml:space="preserve">County Court of Victoria, </w:t>
      </w:r>
      <w:hyperlink r:id="rId14" w:history="1">
        <w:r w:rsidR="001C03A0" w:rsidRPr="001C03A0">
          <w:rPr>
            <w:rStyle w:val="Hyperlink"/>
          </w:rPr>
          <w:t>'Day in the l</w:t>
        </w:r>
        <w:r w:rsidR="001C03A0" w:rsidRPr="001C03A0">
          <w:rPr>
            <w:rStyle w:val="Hyperlink"/>
          </w:rPr>
          <w:t>i</w:t>
        </w:r>
        <w:r w:rsidR="001C03A0" w:rsidRPr="001C03A0">
          <w:rPr>
            <w:rStyle w:val="Hyperlink"/>
          </w:rPr>
          <w:t>fe of a judge'</w:t>
        </w:r>
      </w:hyperlink>
    </w:p>
    <w:p w14:paraId="47A294C0" w14:textId="6A38B186" w:rsidR="005F2D80" w:rsidRDefault="005F2D80" w:rsidP="00EF1AB7">
      <w:pPr>
        <w:pStyle w:val="VCAAbullet"/>
      </w:pPr>
      <w:hyperlink r:id="rId15" w:history="1">
        <w:r w:rsidRPr="005F2D80">
          <w:rPr>
            <w:rStyle w:val="Hyperlink"/>
          </w:rPr>
          <w:t>Film: ‘</w:t>
        </w:r>
        <w:r w:rsidRPr="005F2D80">
          <w:rPr>
            <w:rStyle w:val="Hyperlink"/>
            <w:i/>
          </w:rPr>
          <w:t>For the defence’</w:t>
        </w:r>
      </w:hyperlink>
      <w:r>
        <w:rPr>
          <w:i/>
        </w:rPr>
        <w:t xml:space="preserve">, </w:t>
      </w:r>
      <w:r>
        <w:t>an oral history of the Victorian Bar, can be viewed in segments</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E224A72" w14:textId="3401B4BA" w:rsidR="008348A0" w:rsidRPr="00EE2DDF" w:rsidRDefault="00DC5CB7" w:rsidP="008348A0">
      <w:pPr>
        <w:pStyle w:val="VCAAbody"/>
      </w:pPr>
      <w:r>
        <w:rPr>
          <w:lang w:val="en-AU"/>
        </w:rPr>
        <w:t>Know yourself - s</w:t>
      </w:r>
      <w:r w:rsidR="008348A0" w:rsidRPr="008C0A84">
        <w:rPr>
          <w:lang w:val="en-AU"/>
        </w:rPr>
        <w:t xml:space="preserve">elf-development: </w:t>
      </w:r>
    </w:p>
    <w:p w14:paraId="02AE8271" w14:textId="53D515D8" w:rsidR="008348A0" w:rsidRPr="003C6FFB" w:rsidRDefault="008348A0" w:rsidP="00EF1AB7">
      <w:pPr>
        <w:pStyle w:val="VCAAbullet"/>
      </w:pPr>
      <w:r w:rsidRPr="003C6FFB">
        <w:t>Students will find out more about the life of a someone in a legal-related career and may have witnessed first</w:t>
      </w:r>
      <w:r w:rsidR="00DC5CB7" w:rsidRPr="003C6FFB">
        <w:t>-</w:t>
      </w:r>
      <w:r w:rsidRPr="003C6FFB">
        <w:t xml:space="preserve">hand some of the challenges and highlights of this life. This can </w:t>
      </w:r>
      <w:r w:rsidR="003C6FFB">
        <w:t>help to</w:t>
      </w:r>
      <w:r w:rsidRPr="003C6FFB">
        <w:t xml:space="preserve"> develop self-awareness </w:t>
      </w:r>
      <w:r w:rsidR="00DC5CB7" w:rsidRPr="003C6FFB">
        <w:t xml:space="preserve">about </w:t>
      </w:r>
      <w:r w:rsidRPr="003C6FFB">
        <w:t xml:space="preserve">whether </w:t>
      </w:r>
      <w:r w:rsidR="003C6FFB">
        <w:t xml:space="preserve">the student would find </w:t>
      </w:r>
      <w:r w:rsidRPr="003C6FFB">
        <w:t xml:space="preserve">this sort of experience fulfilling or challenging. </w:t>
      </w:r>
      <w:r w:rsidR="00D5430E" w:rsidRPr="003C6FFB">
        <w:t>Students</w:t>
      </w:r>
      <w:r w:rsidR="00DC5CB7" w:rsidRPr="003C6FFB">
        <w:t>’ learning</w:t>
      </w:r>
      <w:r w:rsidR="00D5430E" w:rsidRPr="003C6FFB">
        <w:t xml:space="preserve"> can be scaffolded to investigate this further.</w:t>
      </w:r>
    </w:p>
    <w:p w14:paraId="7BCED029" w14:textId="16B13FE8" w:rsidR="008348A0" w:rsidRPr="008C0A84" w:rsidRDefault="00DC5CB7" w:rsidP="008348A0">
      <w:pPr>
        <w:pStyle w:val="VCAAbody"/>
        <w:rPr>
          <w:lang w:val="en-AU"/>
        </w:rPr>
      </w:pPr>
      <w:r>
        <w:rPr>
          <w:lang w:val="en-AU"/>
        </w:rPr>
        <w:t>Know your world - c</w:t>
      </w:r>
      <w:r w:rsidR="008348A0" w:rsidRPr="008C0A84">
        <w:rPr>
          <w:lang w:val="en-AU"/>
        </w:rPr>
        <w:t xml:space="preserve">areer exploration: </w:t>
      </w:r>
    </w:p>
    <w:p w14:paraId="4814AE0E" w14:textId="4D3C93AB" w:rsidR="008348A0" w:rsidRPr="008C0A84" w:rsidRDefault="008348A0" w:rsidP="00EF1AB7">
      <w:pPr>
        <w:pStyle w:val="VCAAbullet"/>
      </w:pPr>
      <w:r>
        <w:t xml:space="preserve">Reflecting on the variety of career opportunities </w:t>
      </w:r>
      <w:r w:rsidR="003C6FFB">
        <w:t>in</w:t>
      </w:r>
      <w:r>
        <w:t xml:space="preserve"> court</w:t>
      </w:r>
      <w:r w:rsidR="003C6FFB">
        <w:t>s</w:t>
      </w:r>
      <w:r w:rsidRPr="008C0A84">
        <w:t xml:space="preserve"> provides students with opportunities to connect their learning with the world of work.</w:t>
      </w:r>
    </w:p>
    <w:p w14:paraId="5C6634E9" w14:textId="48CB9E98" w:rsidR="008348A0" w:rsidRPr="00A6147A" w:rsidRDefault="008348A0" w:rsidP="00EF1AB7">
      <w:pPr>
        <w:pStyle w:val="VCAAbullet"/>
      </w:pPr>
      <w:r w:rsidRPr="00A6147A">
        <w:t xml:space="preserve">Asking </w:t>
      </w:r>
      <w:r w:rsidR="00D5430E">
        <w:t>a</w:t>
      </w:r>
      <w:r w:rsidR="00D5430E" w:rsidRPr="00A6147A">
        <w:t xml:space="preserve"> </w:t>
      </w:r>
      <w:r w:rsidRPr="00A6147A">
        <w:t>guest speaker about their career pathway</w:t>
      </w:r>
      <w:r w:rsidR="00D5430E">
        <w:t xml:space="preserve"> </w:t>
      </w:r>
      <w:r w:rsidRPr="00A6147A">
        <w:t xml:space="preserve">may </w:t>
      </w:r>
      <w:r w:rsidR="003C6FFB">
        <w:t>help students</w:t>
      </w:r>
      <w:r w:rsidRPr="00A6147A">
        <w:t xml:space="preserve"> </w:t>
      </w:r>
      <w:r w:rsidR="0099415E">
        <w:t>understand that a career pathway can have</w:t>
      </w:r>
      <w:r w:rsidRPr="00A6147A">
        <w:t xml:space="preserve"> many steps </w:t>
      </w:r>
      <w:r w:rsidR="0099415E">
        <w:t xml:space="preserve">that need to be taken to reach </w:t>
      </w:r>
      <w:r w:rsidRPr="00A6147A">
        <w:t>their ideal job</w:t>
      </w:r>
      <w:r>
        <w:t>.</w:t>
      </w:r>
    </w:p>
    <w:p w14:paraId="5808C914" w14:textId="2C875153" w:rsidR="008348A0" w:rsidRPr="008C0A84" w:rsidRDefault="00DC5CB7" w:rsidP="008348A0">
      <w:pPr>
        <w:pStyle w:val="VCAAbody"/>
        <w:rPr>
          <w:lang w:val="en-AU"/>
        </w:rPr>
      </w:pPr>
      <w:r>
        <w:rPr>
          <w:lang w:val="en-AU"/>
        </w:rPr>
        <w:t>Manage your future</w:t>
      </w:r>
      <w:r w:rsidR="009C7420">
        <w:rPr>
          <w:lang w:val="en-AU"/>
        </w:rPr>
        <w:t xml:space="preserve"> - </w:t>
      </w:r>
      <w:r>
        <w:rPr>
          <w:lang w:val="en-AU"/>
        </w:rPr>
        <w:t>be proactive</w:t>
      </w:r>
      <w:r w:rsidR="008348A0" w:rsidRPr="008C0A84">
        <w:rPr>
          <w:lang w:val="en-AU"/>
        </w:rPr>
        <w:t xml:space="preserve">: </w:t>
      </w:r>
    </w:p>
    <w:p w14:paraId="6416D676" w14:textId="32E3B21B" w:rsidR="008348A0" w:rsidRPr="008C0A84" w:rsidRDefault="008348A0" w:rsidP="00EF1AB7">
      <w:pPr>
        <w:pStyle w:val="VCAAbullet"/>
      </w:pPr>
      <w:r w:rsidRPr="008C0A84">
        <w:t xml:space="preserve">Students can </w:t>
      </w:r>
      <w:r w:rsidRPr="00301378">
        <w:t>reflect on additional skills they have learned</w:t>
      </w:r>
      <w:r>
        <w:t xml:space="preserve"> as part of this task</w:t>
      </w:r>
      <w:r w:rsidR="0099415E">
        <w:t xml:space="preserve"> (e.g.</w:t>
      </w:r>
      <w:r w:rsidR="00E53A29">
        <w:t xml:space="preserve"> p</w:t>
      </w:r>
      <w:r w:rsidR="00E53A29" w:rsidRPr="0034627B">
        <w:t>la</w:t>
      </w:r>
      <w:r w:rsidR="00E53A29">
        <w:t>n</w:t>
      </w:r>
      <w:r w:rsidR="00E53A29" w:rsidRPr="0034627B">
        <w:t>n</w:t>
      </w:r>
      <w:r w:rsidR="00E53A29">
        <w:t>ing</w:t>
      </w:r>
      <w:r w:rsidR="00E53A29" w:rsidRPr="0034627B">
        <w:t xml:space="preserve"> questions to ask the guest speaker can </w:t>
      </w:r>
      <w:r w:rsidR="0099415E">
        <w:t>help to develop</w:t>
      </w:r>
      <w:r w:rsidR="00E53A29" w:rsidRPr="00E53A29">
        <w:t xml:space="preserve"> communication skills</w:t>
      </w:r>
      <w:r w:rsidR="0099415E">
        <w:t xml:space="preserve">), and on </w:t>
      </w:r>
      <w:r w:rsidR="00E53A29" w:rsidRPr="0034627B">
        <w:t xml:space="preserve">the ways in which communication skills </w:t>
      </w:r>
      <w:r w:rsidR="0099415E">
        <w:t>are</w:t>
      </w:r>
      <w:r w:rsidR="00E53A29" w:rsidRPr="0034627B">
        <w:t xml:space="preserve"> used in the various </w:t>
      </w:r>
      <w:r w:rsidR="0099415E">
        <w:t>roles</w:t>
      </w:r>
      <w:r w:rsidR="00E53A29" w:rsidRPr="0034627B">
        <w:t xml:space="preserve"> they observed during the excursion. </w:t>
      </w:r>
    </w:p>
    <w:p w14:paraId="5DD6FFBA" w14:textId="59887475" w:rsidR="00F01253" w:rsidRPr="00DC5CB7" w:rsidRDefault="008348A0" w:rsidP="00EF1AB7">
      <w:pPr>
        <w:pStyle w:val="VCAAbullet"/>
      </w:pPr>
      <w:r w:rsidRPr="0034627B">
        <w:t>Planning for</w:t>
      </w:r>
      <w:r w:rsidR="0099415E">
        <w:t xml:space="preserve"> the journey to the court</w:t>
      </w:r>
      <w:r w:rsidRPr="0034627B">
        <w:t xml:space="preserve"> and </w:t>
      </w:r>
      <w:r w:rsidR="0099415E">
        <w:t>ensuring they arrive on time, dressed appropriately,</w:t>
      </w:r>
      <w:r w:rsidRPr="0034627B">
        <w:t xml:space="preserve"> especially if students are to meet the teacher at the venue, can </w:t>
      </w:r>
      <w:r w:rsidR="0099415E">
        <w:t>help to develop</w:t>
      </w:r>
      <w:r w:rsidRPr="0034627B">
        <w:t xml:space="preserve"> planning</w:t>
      </w:r>
      <w:r w:rsidR="0099415E">
        <w:t>, or</w:t>
      </w:r>
      <w:r w:rsidRPr="0034627B">
        <w:t>ganising, and self-management</w:t>
      </w:r>
      <w:r>
        <w:t xml:space="preserve"> skills</w:t>
      </w:r>
      <w:r w:rsidRPr="0034627B">
        <w:t>.</w:t>
      </w:r>
    </w:p>
    <w:sectPr w:rsidR="00F01253" w:rsidRPr="00DC5CB7"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49605" w16cid:durableId="23130D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12AC4" w:rsidRDefault="00812AC4" w:rsidP="00304EA1">
      <w:pPr>
        <w:spacing w:after="0" w:line="240" w:lineRule="auto"/>
      </w:pPr>
      <w:r>
        <w:separator/>
      </w:r>
    </w:p>
  </w:endnote>
  <w:endnote w:type="continuationSeparator" w:id="0">
    <w:p w14:paraId="3270DF94" w14:textId="77777777" w:rsidR="00812AC4" w:rsidRDefault="00812A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12AC4" w:rsidRPr="00D06414" w14:paraId="6474FD3B" w14:textId="77777777" w:rsidTr="00BB3BAB">
      <w:trPr>
        <w:trHeight w:val="476"/>
      </w:trPr>
      <w:tc>
        <w:tcPr>
          <w:tcW w:w="1667" w:type="pct"/>
          <w:tcMar>
            <w:left w:w="0" w:type="dxa"/>
            <w:right w:w="0" w:type="dxa"/>
          </w:tcMar>
        </w:tcPr>
        <w:p w14:paraId="0EC15F2D" w14:textId="77777777" w:rsidR="00812AC4" w:rsidRPr="00D06414" w:rsidRDefault="00812AC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12AC4" w:rsidRPr="00D06414" w:rsidRDefault="00812AC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73DA82" w:rsidR="00812AC4" w:rsidRPr="00D06414" w:rsidRDefault="00812AC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075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12AC4" w:rsidRPr="00D06414" w:rsidRDefault="00812AC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12AC4" w:rsidRPr="00D06414" w14:paraId="36A4ADC1" w14:textId="77777777" w:rsidTr="000F5AAF">
      <w:tc>
        <w:tcPr>
          <w:tcW w:w="1459" w:type="pct"/>
          <w:tcMar>
            <w:left w:w="0" w:type="dxa"/>
            <w:right w:w="0" w:type="dxa"/>
          </w:tcMar>
        </w:tcPr>
        <w:p w14:paraId="74DB1FC2" w14:textId="77777777" w:rsidR="00812AC4" w:rsidRPr="00D06414" w:rsidRDefault="00812AC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12AC4" w:rsidRPr="00D06414" w:rsidRDefault="00812AC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12AC4" w:rsidRPr="00D06414" w:rsidRDefault="00812AC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12AC4" w:rsidRPr="00D06414" w:rsidRDefault="00812AC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12AC4" w:rsidRDefault="00812AC4" w:rsidP="00304EA1">
      <w:pPr>
        <w:spacing w:after="0" w:line="240" w:lineRule="auto"/>
      </w:pPr>
      <w:r>
        <w:separator/>
      </w:r>
    </w:p>
  </w:footnote>
  <w:footnote w:type="continuationSeparator" w:id="0">
    <w:p w14:paraId="13540A36" w14:textId="77777777" w:rsidR="00812AC4" w:rsidRDefault="00812A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6202BD7" w:rsidR="00812AC4" w:rsidRPr="0038622E" w:rsidRDefault="00812AC4" w:rsidP="0038622E">
    <w:pPr>
      <w:pStyle w:val="VCAAbody"/>
      <w:rPr>
        <w:color w:val="0F7EB4"/>
      </w:rPr>
    </w:pPr>
    <w:r>
      <w:t>Embedding career education in the Victorian Curriculum F–10 – Civics and Citizenship,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12AC4" w:rsidRPr="009370BC" w:rsidRDefault="00812AC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C22E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1AD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E0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DA3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AEF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4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325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E98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4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8E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0D62A876"/>
    <w:lvl w:ilvl="0" w:tplc="6AC811C2">
      <w:start w:val="1"/>
      <w:numFmt w:val="bullet"/>
      <w:pStyle w:val="VCAA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753EF"/>
    <w:rsid w:val="00086CFC"/>
    <w:rsid w:val="00097F58"/>
    <w:rsid w:val="000A71F7"/>
    <w:rsid w:val="000B152F"/>
    <w:rsid w:val="000F09E4"/>
    <w:rsid w:val="000F16FD"/>
    <w:rsid w:val="000F5AAF"/>
    <w:rsid w:val="0012374D"/>
    <w:rsid w:val="00143520"/>
    <w:rsid w:val="00153AD2"/>
    <w:rsid w:val="00155F13"/>
    <w:rsid w:val="001779EA"/>
    <w:rsid w:val="001926FE"/>
    <w:rsid w:val="001A39A9"/>
    <w:rsid w:val="001C03A0"/>
    <w:rsid w:val="001D3246"/>
    <w:rsid w:val="001F5D88"/>
    <w:rsid w:val="00211816"/>
    <w:rsid w:val="00224379"/>
    <w:rsid w:val="002279BA"/>
    <w:rsid w:val="002329F3"/>
    <w:rsid w:val="00243F0D"/>
    <w:rsid w:val="00254888"/>
    <w:rsid w:val="00255852"/>
    <w:rsid w:val="00260767"/>
    <w:rsid w:val="002647BB"/>
    <w:rsid w:val="00265FE4"/>
    <w:rsid w:val="002754C1"/>
    <w:rsid w:val="002841C8"/>
    <w:rsid w:val="0028516B"/>
    <w:rsid w:val="002A68FD"/>
    <w:rsid w:val="002B103A"/>
    <w:rsid w:val="002C6F90"/>
    <w:rsid w:val="002E4FB5"/>
    <w:rsid w:val="00302FB8"/>
    <w:rsid w:val="003031F6"/>
    <w:rsid w:val="00304EA1"/>
    <w:rsid w:val="00314D81"/>
    <w:rsid w:val="00322FC6"/>
    <w:rsid w:val="0035293F"/>
    <w:rsid w:val="00376D1B"/>
    <w:rsid w:val="0038622E"/>
    <w:rsid w:val="00391986"/>
    <w:rsid w:val="00392864"/>
    <w:rsid w:val="003A00B4"/>
    <w:rsid w:val="003C394F"/>
    <w:rsid w:val="003C5E71"/>
    <w:rsid w:val="003C6FFB"/>
    <w:rsid w:val="003E3E79"/>
    <w:rsid w:val="00411D26"/>
    <w:rsid w:val="00417AA3"/>
    <w:rsid w:val="00421DB1"/>
    <w:rsid w:val="00425DFE"/>
    <w:rsid w:val="00425FD1"/>
    <w:rsid w:val="00430366"/>
    <w:rsid w:val="00434EDB"/>
    <w:rsid w:val="00440B32"/>
    <w:rsid w:val="00457521"/>
    <w:rsid w:val="0046078D"/>
    <w:rsid w:val="0046169B"/>
    <w:rsid w:val="00486396"/>
    <w:rsid w:val="00495C80"/>
    <w:rsid w:val="00496FF5"/>
    <w:rsid w:val="004A2ED8"/>
    <w:rsid w:val="004D70CD"/>
    <w:rsid w:val="004F5BDA"/>
    <w:rsid w:val="004F6DE0"/>
    <w:rsid w:val="00515417"/>
    <w:rsid w:val="0051631E"/>
    <w:rsid w:val="00537A1F"/>
    <w:rsid w:val="00551D67"/>
    <w:rsid w:val="00563E1D"/>
    <w:rsid w:val="00566029"/>
    <w:rsid w:val="00567FD3"/>
    <w:rsid w:val="005923CB"/>
    <w:rsid w:val="005B391B"/>
    <w:rsid w:val="005D16C1"/>
    <w:rsid w:val="005D3D78"/>
    <w:rsid w:val="005D7236"/>
    <w:rsid w:val="005E2EF0"/>
    <w:rsid w:val="005F2D80"/>
    <w:rsid w:val="005F4092"/>
    <w:rsid w:val="00610518"/>
    <w:rsid w:val="006230A4"/>
    <w:rsid w:val="00623CEC"/>
    <w:rsid w:val="0068471E"/>
    <w:rsid w:val="00684F98"/>
    <w:rsid w:val="00693FFD"/>
    <w:rsid w:val="006D2159"/>
    <w:rsid w:val="006F2139"/>
    <w:rsid w:val="006F787C"/>
    <w:rsid w:val="00702636"/>
    <w:rsid w:val="00724507"/>
    <w:rsid w:val="007623B9"/>
    <w:rsid w:val="00773E6C"/>
    <w:rsid w:val="00781FB1"/>
    <w:rsid w:val="007A0E4B"/>
    <w:rsid w:val="007D1B6D"/>
    <w:rsid w:val="007D3B75"/>
    <w:rsid w:val="007E7D1F"/>
    <w:rsid w:val="00812AC4"/>
    <w:rsid w:val="00813C37"/>
    <w:rsid w:val="008154B5"/>
    <w:rsid w:val="00821837"/>
    <w:rsid w:val="00823962"/>
    <w:rsid w:val="008348A0"/>
    <w:rsid w:val="008410D0"/>
    <w:rsid w:val="00852719"/>
    <w:rsid w:val="00860115"/>
    <w:rsid w:val="00872745"/>
    <w:rsid w:val="00872C98"/>
    <w:rsid w:val="0088783C"/>
    <w:rsid w:val="008942DD"/>
    <w:rsid w:val="008B1278"/>
    <w:rsid w:val="008C0A84"/>
    <w:rsid w:val="008D0ABF"/>
    <w:rsid w:val="008D57CA"/>
    <w:rsid w:val="00905484"/>
    <w:rsid w:val="009240A6"/>
    <w:rsid w:val="009370BC"/>
    <w:rsid w:val="00970580"/>
    <w:rsid w:val="00973220"/>
    <w:rsid w:val="009806AE"/>
    <w:rsid w:val="0098739B"/>
    <w:rsid w:val="0099415E"/>
    <w:rsid w:val="009B61E5"/>
    <w:rsid w:val="009C7420"/>
    <w:rsid w:val="009D1E89"/>
    <w:rsid w:val="009E5707"/>
    <w:rsid w:val="00A0755E"/>
    <w:rsid w:val="00A13223"/>
    <w:rsid w:val="00A14093"/>
    <w:rsid w:val="00A17661"/>
    <w:rsid w:val="00A24B2D"/>
    <w:rsid w:val="00A27DCD"/>
    <w:rsid w:val="00A35559"/>
    <w:rsid w:val="00A40966"/>
    <w:rsid w:val="00A50E81"/>
    <w:rsid w:val="00A83E45"/>
    <w:rsid w:val="00A921E0"/>
    <w:rsid w:val="00A922F4"/>
    <w:rsid w:val="00AC2E4B"/>
    <w:rsid w:val="00AD59D5"/>
    <w:rsid w:val="00AD6643"/>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E5521"/>
    <w:rsid w:val="00BF6C23"/>
    <w:rsid w:val="00C2005D"/>
    <w:rsid w:val="00C53263"/>
    <w:rsid w:val="00C6415E"/>
    <w:rsid w:val="00C75F1D"/>
    <w:rsid w:val="00C81D90"/>
    <w:rsid w:val="00C95156"/>
    <w:rsid w:val="00CA0DC2"/>
    <w:rsid w:val="00CB68E8"/>
    <w:rsid w:val="00D0091D"/>
    <w:rsid w:val="00D03714"/>
    <w:rsid w:val="00D04F01"/>
    <w:rsid w:val="00D06414"/>
    <w:rsid w:val="00D24E5A"/>
    <w:rsid w:val="00D338E4"/>
    <w:rsid w:val="00D35D07"/>
    <w:rsid w:val="00D36FA7"/>
    <w:rsid w:val="00D4304F"/>
    <w:rsid w:val="00D51947"/>
    <w:rsid w:val="00D532F0"/>
    <w:rsid w:val="00D5430E"/>
    <w:rsid w:val="00D77413"/>
    <w:rsid w:val="00D82759"/>
    <w:rsid w:val="00D86DE4"/>
    <w:rsid w:val="00DB533D"/>
    <w:rsid w:val="00DC5CB7"/>
    <w:rsid w:val="00DE1909"/>
    <w:rsid w:val="00DE51DB"/>
    <w:rsid w:val="00E03E3C"/>
    <w:rsid w:val="00E23F1D"/>
    <w:rsid w:val="00E30E05"/>
    <w:rsid w:val="00E36361"/>
    <w:rsid w:val="00E53A29"/>
    <w:rsid w:val="00E5503E"/>
    <w:rsid w:val="00E55AE9"/>
    <w:rsid w:val="00E56D1D"/>
    <w:rsid w:val="00E9592C"/>
    <w:rsid w:val="00EA2830"/>
    <w:rsid w:val="00EB0C84"/>
    <w:rsid w:val="00EE2DDF"/>
    <w:rsid w:val="00EF1AB7"/>
    <w:rsid w:val="00EF1E25"/>
    <w:rsid w:val="00F01253"/>
    <w:rsid w:val="00F17FDE"/>
    <w:rsid w:val="00F27A11"/>
    <w:rsid w:val="00F30E53"/>
    <w:rsid w:val="00F40D53"/>
    <w:rsid w:val="00F4525C"/>
    <w:rsid w:val="00F50D86"/>
    <w:rsid w:val="00F56595"/>
    <w:rsid w:val="00F6547F"/>
    <w:rsid w:val="00F6610F"/>
    <w:rsid w:val="00F804D3"/>
    <w:rsid w:val="00FA307A"/>
    <w:rsid w:val="00FB23F1"/>
    <w:rsid w:val="00FD29D3"/>
    <w:rsid w:val="00FE2873"/>
    <w:rsid w:val="00FE3F0B"/>
    <w:rsid w:val="00FF47DF"/>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51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F1AB7"/>
    <w:pPr>
      <w:numPr>
        <w:numId w:val="22"/>
      </w:numPr>
      <w:tabs>
        <w:tab w:val="left" w:pos="425"/>
      </w:tabs>
      <w:spacing w:before="60" w:after="60"/>
      <w:ind w:left="426" w:hanging="426"/>
      <w:contextualSpacing/>
    </w:pPr>
    <w:rPr>
      <w:rFonts w:eastAsia="Times New Roman"/>
      <w:bCs/>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D03714"/>
    <w:rPr>
      <w:color w:val="605E5C"/>
      <w:shd w:val="clear" w:color="auto" w:fill="E1DFDD"/>
    </w:rPr>
  </w:style>
  <w:style w:type="character" w:styleId="FollowedHyperlink">
    <w:name w:val="FollowedHyperlink"/>
    <w:basedOn w:val="DefaultParagraphFont"/>
    <w:uiPriority w:val="99"/>
    <w:semiHidden/>
    <w:unhideWhenUsed/>
    <w:rsid w:val="00FF588C"/>
    <w:rPr>
      <w:color w:val="8DB3E2" w:themeColor="followedHyperlink"/>
      <w:u w:val="single"/>
    </w:rPr>
  </w:style>
  <w:style w:type="character" w:customStyle="1" w:styleId="UnresolvedMention">
    <w:name w:val="Unresolved Mention"/>
    <w:basedOn w:val="DefaultParagraphFont"/>
    <w:uiPriority w:val="99"/>
    <w:semiHidden/>
    <w:unhideWhenUsed/>
    <w:rsid w:val="00FF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vic.gov.au/resources/school-tou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untycourt.vic.gov.au/learn-about-court/educational-resources/virtual-tou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L033" TargetMode="External"/><Relationship Id="rId5" Type="http://schemas.openxmlformats.org/officeDocument/2006/relationships/numbering" Target="numbering.xml"/><Relationship Id="rId15" Type="http://schemas.openxmlformats.org/officeDocument/2006/relationships/hyperlink" Target="https://old.vicbar.com.au/vicbar_oral/for_the_defence_home.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xhoOeIjVvA"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E7B112C-8089-4DE8-B9DF-73F69F8D1E1F}"/>
</file>

<file path=customXml/itemProps4.xml><?xml version="1.0" encoding="utf-8"?>
<ds:datastoreItem xmlns:ds="http://schemas.openxmlformats.org/officeDocument/2006/customXml" ds:itemID="{91BC0F51-081F-4971-A61A-DEADF767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5762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Civics and Citizenship</cp:keywords>
  <dc:description/>
  <cp:lastModifiedBy/>
  <cp:revision>1</cp:revision>
  <cp:lastPrinted>2020-03-04T04:43:00Z</cp:lastPrinted>
  <dcterms:created xsi:type="dcterms:W3CDTF">2020-09-30T12:12:00Z</dcterms:created>
  <dcterms:modified xsi:type="dcterms:W3CDTF">2020-09-30T12:12:00Z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