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510C431A" w:rsidR="00086CFC" w:rsidRPr="003506F6" w:rsidRDefault="00C2005D" w:rsidP="002376E2">
      <w:pPr>
        <w:pStyle w:val="VCAAHeading1"/>
      </w:pPr>
      <w:bookmarkStart w:id="0" w:name="_GoBack"/>
      <w:bookmarkEnd w:id="0"/>
      <w:r w:rsidRPr="003506F6">
        <w:t>E</w:t>
      </w:r>
      <w:r w:rsidR="00E56D1D" w:rsidRPr="003506F6">
        <w:t>m</w:t>
      </w:r>
      <w:r w:rsidR="007E7D1F" w:rsidRPr="003506F6">
        <w:t xml:space="preserve">bedding career education in </w:t>
      </w:r>
      <w:r w:rsidR="00E56D1D" w:rsidRPr="003506F6">
        <w:t>the Victorian Curriculum F–10</w:t>
      </w:r>
      <w:r w:rsidR="00086CFC" w:rsidRPr="003506F6">
        <w:t xml:space="preserve"> </w:t>
      </w:r>
    </w:p>
    <w:p w14:paraId="309AA2D5" w14:textId="5E77232C" w:rsidR="004F6DE0" w:rsidRPr="008C0A84" w:rsidRDefault="00092F94" w:rsidP="004F6DE0">
      <w:pPr>
        <w:pStyle w:val="VCAAHeading2"/>
        <w:rPr>
          <w:lang w:val="en-AU"/>
        </w:rPr>
      </w:pPr>
      <w:bookmarkStart w:id="1" w:name="TemplateOverview"/>
      <w:bookmarkEnd w:id="1"/>
      <w:r>
        <w:rPr>
          <w:lang w:val="en-AU"/>
        </w:rPr>
        <w:t>Design and Technologies</w:t>
      </w:r>
      <w:r w:rsidR="002C0EED">
        <w:rPr>
          <w:lang w:val="en-AU"/>
        </w:rPr>
        <w:t xml:space="preserve"> – Food specialisations,</w:t>
      </w:r>
      <w:r w:rsidR="002C0EED" w:rsidRPr="008C0A84">
        <w:rPr>
          <w:lang w:val="en-AU"/>
        </w:rPr>
        <w:t xml:space="preserve"> </w:t>
      </w:r>
      <w:r w:rsidR="004F6DE0" w:rsidRPr="008C0A84">
        <w:rPr>
          <w:lang w:val="en-AU"/>
        </w:rPr>
        <w:t xml:space="preserve">Levels </w:t>
      </w:r>
      <w:r>
        <w:rPr>
          <w:lang w:val="en-AU"/>
        </w:rPr>
        <w:t>7</w:t>
      </w:r>
      <w:r w:rsidR="004F6DE0" w:rsidRPr="008C0A84">
        <w:rPr>
          <w:lang w:val="en-AU"/>
        </w:rPr>
        <w:t xml:space="preserve"> and </w:t>
      </w:r>
      <w:r>
        <w:rPr>
          <w:lang w:val="en-AU"/>
        </w:rPr>
        <w:t>8</w:t>
      </w:r>
    </w:p>
    <w:p w14:paraId="2E354ED1" w14:textId="1B8D356A"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5D7CE384" w:rsidR="008B1278" w:rsidRPr="008C0A84" w:rsidRDefault="008B1278" w:rsidP="002376E2">
      <w:pPr>
        <w:pStyle w:val="VCAAbody-withlargetabandhangingindent"/>
      </w:pPr>
      <w:r w:rsidRPr="008C0A84">
        <w:rPr>
          <w:b/>
        </w:rPr>
        <w:t>Curriculum area</w:t>
      </w:r>
      <w:r w:rsidR="002C0EED">
        <w:rPr>
          <w:b/>
        </w:rPr>
        <w:t>, sub-strand</w:t>
      </w:r>
      <w:r w:rsidRPr="008C0A84">
        <w:rPr>
          <w:b/>
        </w:rPr>
        <w:t xml:space="preserve"> and levels:</w:t>
      </w:r>
      <w:r w:rsidRPr="008C0A84">
        <w:tab/>
      </w:r>
      <w:r w:rsidR="00092F94">
        <w:t>Design and Technologies</w:t>
      </w:r>
      <w:r w:rsidR="002E6BA3">
        <w:t xml:space="preserve"> –</w:t>
      </w:r>
      <w:r w:rsidR="002C0EED">
        <w:t xml:space="preserve"> Food specialisations,</w:t>
      </w:r>
      <w:r w:rsidRPr="008C0A84">
        <w:t xml:space="preserve"> </w:t>
      </w:r>
      <w:r w:rsidR="004C32D4">
        <w:br/>
      </w:r>
      <w:r w:rsidRPr="008C0A84">
        <w:t xml:space="preserve">Levels </w:t>
      </w:r>
      <w:r w:rsidR="00092F94">
        <w:t>7</w:t>
      </w:r>
      <w:r w:rsidRPr="008C0A84">
        <w:t xml:space="preserve"> and </w:t>
      </w:r>
      <w:r w:rsidR="00092F94">
        <w:t>8</w:t>
      </w:r>
    </w:p>
    <w:p w14:paraId="0E180513" w14:textId="0F6CDDF4" w:rsidR="00092F94" w:rsidRDefault="00254888" w:rsidP="00B51FA6">
      <w:pPr>
        <w:pStyle w:val="VCAAbody-withlargetabandhangingindent"/>
      </w:pPr>
      <w:r w:rsidRPr="008C0A84">
        <w:rPr>
          <w:b/>
        </w:rPr>
        <w:t>Relevant c</w:t>
      </w:r>
      <w:r w:rsidR="008B1278" w:rsidRPr="008C0A84">
        <w:rPr>
          <w:b/>
        </w:rPr>
        <w:t>ontent description:</w:t>
      </w:r>
      <w:r w:rsidR="008B1278" w:rsidRPr="008C0A84">
        <w:tab/>
      </w:r>
      <w:r w:rsidR="00092F94">
        <w:t>Analyse how characteristics and properties of food determine preparation techniques and presentation when creating solutions for healthy eating</w:t>
      </w:r>
      <w:r w:rsidR="00092F94" w:rsidRPr="008C0A84">
        <w:t>.</w:t>
      </w:r>
      <w:r w:rsidR="00092F94">
        <w:t xml:space="preserve"> </w:t>
      </w:r>
      <w:hyperlink r:id="rId11" w:history="1">
        <w:r w:rsidR="00092F94" w:rsidRPr="000A6347">
          <w:t>(</w:t>
        </w:r>
        <w:r w:rsidR="00092F94" w:rsidRPr="000A6347">
          <w:rPr>
            <w:rStyle w:val="Hyperlink"/>
          </w:rPr>
          <w:t>VCDST</w:t>
        </w:r>
        <w:r w:rsidR="002C0EED">
          <w:rPr>
            <w:rStyle w:val="Hyperlink"/>
          </w:rPr>
          <w:t>C</w:t>
        </w:r>
        <w:r w:rsidR="00092F94" w:rsidRPr="000A6347">
          <w:rPr>
            <w:rStyle w:val="Hyperlink"/>
          </w:rPr>
          <w:t>0</w:t>
        </w:r>
        <w:r w:rsidR="00092F94">
          <w:rPr>
            <w:rStyle w:val="Hyperlink"/>
          </w:rPr>
          <w:t>47</w:t>
        </w:r>
        <w:r w:rsidR="00092F94" w:rsidRPr="000A6347">
          <w:t>)</w:t>
        </w:r>
      </w:hyperlink>
      <w:r w:rsidR="00893B55">
        <w:t xml:space="preserve"> </w:t>
      </w:r>
    </w:p>
    <w:p w14:paraId="36A2C730" w14:textId="21511934"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7852FC">
        <w:t xml:space="preserve">Investigating sensory and nutritional differences when </w:t>
      </w:r>
      <w:r w:rsidR="008A5FA1">
        <w:t xml:space="preserve">vegetables </w:t>
      </w:r>
      <w:r w:rsidR="007852FC">
        <w:t>are prepared with different techniques</w:t>
      </w:r>
      <w:r w:rsidR="00092F94">
        <w:t>.</w:t>
      </w:r>
      <w:r w:rsidR="00D35D07">
        <w:t xml:space="preserve"> </w:t>
      </w:r>
    </w:p>
    <w:p w14:paraId="2364A01C" w14:textId="7343BB69" w:rsidR="00421DB1" w:rsidRPr="008C0A84" w:rsidRDefault="00421DB1" w:rsidP="00B51FA6">
      <w:pPr>
        <w:pStyle w:val="VCAAbody-withlargetabandhangingindent"/>
      </w:pPr>
      <w:r w:rsidRPr="002376E2">
        <w:rPr>
          <w:b/>
          <w:bCs/>
        </w:rPr>
        <w:t>Summary of adaptation, change, addition:</w:t>
      </w:r>
      <w:r>
        <w:tab/>
      </w:r>
      <w:r w:rsidR="00301076">
        <w:t>Exploring professions that aim to improve public health.</w:t>
      </w:r>
    </w:p>
    <w:p w14:paraId="65DFB73F" w14:textId="08799027" w:rsidR="00254888" w:rsidRPr="002376E2" w:rsidRDefault="00254888" w:rsidP="002376E2">
      <w:pPr>
        <w:pStyle w:val="VCAAHeading3"/>
      </w:pPr>
      <w:r w:rsidRPr="002376E2">
        <w:t xml:space="preserve">2. Adapt the learning activity to </w:t>
      </w:r>
      <w:r w:rsidR="00FF47DF" w:rsidRPr="002376E2">
        <w:t>include</w:t>
      </w:r>
      <w:r w:rsidRPr="002376E2">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964"/>
        <w:gridCol w:w="5925"/>
      </w:tblGrid>
      <w:tr w:rsidR="00254888" w:rsidRPr="008C0A84" w14:paraId="47FFE019" w14:textId="77777777" w:rsidTr="00567FD3">
        <w:trPr>
          <w:cnfStyle w:val="100000000000" w:firstRow="1" w:lastRow="0" w:firstColumn="0" w:lastColumn="0" w:oddVBand="0" w:evenVBand="0" w:oddHBand="0" w:evenHBand="0" w:firstRowFirstColumn="0" w:firstRowLastColumn="0" w:lastRowFirstColumn="0" w:lastRowLastColumn="0"/>
        </w:trPr>
        <w:tc>
          <w:tcPr>
            <w:tcW w:w="3964" w:type="dxa"/>
            <w:tcBorders>
              <w:bottom w:val="single" w:sz="4"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925" w:type="dxa"/>
            <w:tcBorders>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567FD3">
        <w:tc>
          <w:tcPr>
            <w:tcW w:w="3964" w:type="dxa"/>
          </w:tcPr>
          <w:p w14:paraId="39BD88B0" w14:textId="076BA472" w:rsidR="007852FC" w:rsidRDefault="00307D21" w:rsidP="007852FC">
            <w:pPr>
              <w:pStyle w:val="VCAAtablecondensed"/>
              <w:rPr>
                <w:lang w:val="en-AU"/>
              </w:rPr>
            </w:pPr>
            <w:r>
              <w:t>Teacher</w:t>
            </w:r>
            <w:r w:rsidR="007852FC">
              <w:t xml:space="preserve"> sets a task</w:t>
            </w:r>
            <w:r w:rsidR="0005378E">
              <w:t xml:space="preserve"> </w:t>
            </w:r>
            <w:r w:rsidR="007852FC">
              <w:t xml:space="preserve">for students to investigate sensory and nutritional differences when </w:t>
            </w:r>
            <w:r w:rsidR="008A5FA1">
              <w:t xml:space="preserve">vegetables (in this example, </w:t>
            </w:r>
            <w:r w:rsidR="007852FC">
              <w:t>potatoes</w:t>
            </w:r>
            <w:r w:rsidR="008A5FA1">
              <w:t>)</w:t>
            </w:r>
            <w:r w:rsidR="007852FC">
              <w:t xml:space="preserve"> are prepared with different techniques: frying, baking and steaming</w:t>
            </w:r>
            <w:r w:rsidR="007852FC">
              <w:rPr>
                <w:lang w:val="en-AU"/>
              </w:rPr>
              <w:t>.</w:t>
            </w:r>
          </w:p>
          <w:p w14:paraId="46A85701" w14:textId="4FBB58E1" w:rsidR="00254888" w:rsidRPr="008C0A84" w:rsidRDefault="00307D21" w:rsidP="0035055E">
            <w:pPr>
              <w:pStyle w:val="VCAAtablecondensed"/>
              <w:rPr>
                <w:lang w:val="en-AU"/>
              </w:rPr>
            </w:pPr>
            <w:r>
              <w:rPr>
                <w:lang w:val="en-AU"/>
              </w:rPr>
              <w:t>Teacher</w:t>
            </w:r>
            <w:r w:rsidR="00946A4A">
              <w:rPr>
                <w:lang w:val="en-AU"/>
              </w:rPr>
              <w:t xml:space="preserve"> directs students in sensory evaluation of the food products, as well as a nutrient inquiry (</w:t>
            </w:r>
            <w:r w:rsidR="0035055E">
              <w:rPr>
                <w:lang w:val="en-AU"/>
              </w:rPr>
              <w:t xml:space="preserve">for example </w:t>
            </w:r>
            <w:r w:rsidR="00946A4A">
              <w:rPr>
                <w:lang w:val="en-AU"/>
              </w:rPr>
              <w:t xml:space="preserve">comparing </w:t>
            </w:r>
            <w:r w:rsidR="00AE5EB0">
              <w:rPr>
                <w:lang w:val="en-AU"/>
              </w:rPr>
              <w:t>kilojoules/</w:t>
            </w:r>
            <w:r w:rsidR="00946A4A">
              <w:rPr>
                <w:lang w:val="en-AU"/>
              </w:rPr>
              <w:t>energy values for boiled, baked and fried potatoes</w:t>
            </w:r>
            <w:r w:rsidR="0035055E">
              <w:rPr>
                <w:lang w:val="en-AU"/>
              </w:rPr>
              <w:t xml:space="preserve"> – listed as chips –</w:t>
            </w:r>
            <w:r w:rsidR="00C3139A">
              <w:rPr>
                <w:lang w:val="en-AU"/>
              </w:rPr>
              <w:t xml:space="preserve"> </w:t>
            </w:r>
            <w:r w:rsidR="0035055E">
              <w:rPr>
                <w:lang w:val="en-AU"/>
              </w:rPr>
              <w:t>via</w:t>
            </w:r>
            <w:r w:rsidR="00C3139A">
              <w:rPr>
                <w:lang w:val="en-AU"/>
              </w:rPr>
              <w:t xml:space="preserve"> the Australian Food Composition Database on the FSANZ website</w:t>
            </w:r>
            <w:r w:rsidR="00946A4A">
              <w:rPr>
                <w:lang w:val="en-AU"/>
              </w:rPr>
              <w:t>).</w:t>
            </w:r>
          </w:p>
        </w:tc>
        <w:tc>
          <w:tcPr>
            <w:tcW w:w="5925" w:type="dxa"/>
          </w:tcPr>
          <w:p w14:paraId="2C2E5431" w14:textId="2ADBAEE1" w:rsidR="0095670B" w:rsidRDefault="002F2FD2" w:rsidP="00FA0369">
            <w:pPr>
              <w:pStyle w:val="VCAAtablecondensed"/>
              <w:rPr>
                <w:lang w:val="en-AU"/>
              </w:rPr>
            </w:pPr>
            <w:r>
              <w:rPr>
                <w:lang w:val="en-AU"/>
              </w:rPr>
              <w:t>T</w:t>
            </w:r>
            <w:r w:rsidR="00307D21">
              <w:rPr>
                <w:lang w:val="en-AU"/>
              </w:rPr>
              <w:t>eacher</w:t>
            </w:r>
            <w:r w:rsidR="00A07330">
              <w:rPr>
                <w:lang w:val="en-AU"/>
              </w:rPr>
              <w:t xml:space="preserve"> </w:t>
            </w:r>
            <w:r w:rsidR="008A5FA1">
              <w:rPr>
                <w:lang w:val="en-AU"/>
              </w:rPr>
              <w:t>frames the students’ findings</w:t>
            </w:r>
            <w:r>
              <w:rPr>
                <w:lang w:val="en-AU"/>
              </w:rPr>
              <w:t xml:space="preserve"> (in the existing activity)</w:t>
            </w:r>
            <w:r w:rsidR="008A5FA1">
              <w:rPr>
                <w:lang w:val="en-AU"/>
              </w:rPr>
              <w:t xml:space="preserve"> as a</w:t>
            </w:r>
            <w:r w:rsidR="00E34420">
              <w:rPr>
                <w:lang w:val="en-AU"/>
              </w:rPr>
              <w:t xml:space="preserve"> </w:t>
            </w:r>
            <w:r w:rsidR="00006C9C">
              <w:rPr>
                <w:lang w:val="en-AU"/>
              </w:rPr>
              <w:t>question or a problem</w:t>
            </w:r>
            <w:r w:rsidR="005D454C">
              <w:rPr>
                <w:lang w:val="en-AU"/>
              </w:rPr>
              <w:t>.</w:t>
            </w:r>
            <w:r w:rsidR="005A278C">
              <w:rPr>
                <w:lang w:val="en-AU"/>
              </w:rPr>
              <w:t xml:space="preserve"> </w:t>
            </w:r>
            <w:r w:rsidR="00EE54F2">
              <w:rPr>
                <w:lang w:val="en-AU"/>
              </w:rPr>
              <w:t>That is, a</w:t>
            </w:r>
            <w:r w:rsidR="000F74EF">
              <w:rPr>
                <w:lang w:val="en-AU"/>
              </w:rPr>
              <w:t xml:space="preserve"> whole-class response</w:t>
            </w:r>
            <w:r w:rsidR="00294A14">
              <w:rPr>
                <w:lang w:val="en-AU"/>
              </w:rPr>
              <w:t xml:space="preserve"> to</w:t>
            </w:r>
            <w:r w:rsidR="00FE468F">
              <w:rPr>
                <w:lang w:val="en-AU"/>
              </w:rPr>
              <w:t xml:space="preserve"> this </w:t>
            </w:r>
            <w:r w:rsidR="00294A14">
              <w:rPr>
                <w:lang w:val="en-AU"/>
              </w:rPr>
              <w:t>sensory evaluation and nutritional enquiry</w:t>
            </w:r>
            <w:r w:rsidR="000F74EF">
              <w:rPr>
                <w:lang w:val="en-AU"/>
              </w:rPr>
              <w:t xml:space="preserve"> will (almost inevitably) find that </w:t>
            </w:r>
            <w:r w:rsidR="0095670B">
              <w:rPr>
                <w:lang w:val="en-AU"/>
              </w:rPr>
              <w:t>while fried potatoes have up to five times the</w:t>
            </w:r>
            <w:r w:rsidR="00AE5EB0">
              <w:rPr>
                <w:lang w:val="en-AU"/>
              </w:rPr>
              <w:t xml:space="preserve"> kilojoule/</w:t>
            </w:r>
            <w:r w:rsidR="0095670B">
              <w:rPr>
                <w:lang w:val="en-AU"/>
              </w:rPr>
              <w:t xml:space="preserve">energy value of the other methods, </w:t>
            </w:r>
            <w:r w:rsidR="009D3AA3">
              <w:rPr>
                <w:lang w:val="en-AU"/>
              </w:rPr>
              <w:t>sensory scores for</w:t>
            </w:r>
            <w:r w:rsidR="0095670B">
              <w:rPr>
                <w:lang w:val="en-AU"/>
              </w:rPr>
              <w:t xml:space="preserve"> taste and texture</w:t>
            </w:r>
            <w:r w:rsidR="009D3AA3">
              <w:rPr>
                <w:lang w:val="en-AU"/>
              </w:rPr>
              <w:t xml:space="preserve"> will be high</w:t>
            </w:r>
            <w:r w:rsidR="0095670B">
              <w:rPr>
                <w:lang w:val="en-AU"/>
              </w:rPr>
              <w:t>, especially with added salt.</w:t>
            </w:r>
          </w:p>
          <w:p w14:paraId="314EBB4B" w14:textId="3046F09D" w:rsidR="005A278C" w:rsidRDefault="00307D21" w:rsidP="005A278C">
            <w:pPr>
              <w:pStyle w:val="VCAAtablecondensed"/>
              <w:rPr>
                <w:lang w:val="en-AU"/>
              </w:rPr>
            </w:pPr>
            <w:r>
              <w:rPr>
                <w:lang w:val="en-AU"/>
              </w:rPr>
              <w:t xml:space="preserve">Students then </w:t>
            </w:r>
            <w:r w:rsidR="008A5FA1">
              <w:rPr>
                <w:lang w:val="en-AU"/>
              </w:rPr>
              <w:t>consider t</w:t>
            </w:r>
            <w:r w:rsidR="00006F03">
              <w:rPr>
                <w:lang w:val="en-AU"/>
              </w:rPr>
              <w:t>he following</w:t>
            </w:r>
            <w:r>
              <w:rPr>
                <w:lang w:val="en-AU"/>
              </w:rPr>
              <w:t xml:space="preserve"> questions</w:t>
            </w:r>
            <w:r w:rsidR="00006F03">
              <w:rPr>
                <w:lang w:val="en-AU"/>
              </w:rPr>
              <w:t xml:space="preserve">: </w:t>
            </w:r>
            <w:r>
              <w:rPr>
                <w:lang w:val="en-AU"/>
              </w:rPr>
              <w:t>‘</w:t>
            </w:r>
            <w:r w:rsidR="00006F03">
              <w:rPr>
                <w:lang w:val="en-AU"/>
              </w:rPr>
              <w:t xml:space="preserve">Why might </w:t>
            </w:r>
            <w:r w:rsidR="00FB66CB">
              <w:rPr>
                <w:lang w:val="en-AU"/>
              </w:rPr>
              <w:t>overconsumption</w:t>
            </w:r>
            <w:r w:rsidR="0035055E">
              <w:rPr>
                <w:lang w:val="en-AU"/>
              </w:rPr>
              <w:t xml:space="preserve"> of chips</w:t>
            </w:r>
            <w:r w:rsidR="00006F03">
              <w:rPr>
                <w:lang w:val="en-AU"/>
              </w:rPr>
              <w:t xml:space="preserve"> be a problem, and for whom? </w:t>
            </w:r>
            <w:r w:rsidR="0035055E">
              <w:rPr>
                <w:lang w:val="en-AU"/>
              </w:rPr>
              <w:t>How</w:t>
            </w:r>
            <w:r w:rsidR="00006F03">
              <w:rPr>
                <w:lang w:val="en-AU"/>
              </w:rPr>
              <w:t xml:space="preserve"> do communities </w:t>
            </w:r>
            <w:r w:rsidR="00006C9C">
              <w:rPr>
                <w:lang w:val="en-AU"/>
              </w:rPr>
              <w:t xml:space="preserve">find </w:t>
            </w:r>
            <w:r w:rsidR="00006F03">
              <w:rPr>
                <w:lang w:val="en-AU"/>
              </w:rPr>
              <w:t>solutions</w:t>
            </w:r>
            <w:r w:rsidR="00006C9C">
              <w:rPr>
                <w:lang w:val="en-AU"/>
              </w:rPr>
              <w:t>/responses</w:t>
            </w:r>
            <w:r w:rsidR="00006F03">
              <w:rPr>
                <w:lang w:val="en-AU"/>
              </w:rPr>
              <w:t xml:space="preserve"> to dietary challenges?</w:t>
            </w:r>
            <w:r>
              <w:rPr>
                <w:lang w:val="en-AU"/>
              </w:rPr>
              <w:t xml:space="preserve">’ </w:t>
            </w:r>
            <w:r w:rsidR="00661104">
              <w:rPr>
                <w:lang w:val="en-AU"/>
              </w:rPr>
              <w:t>Position</w:t>
            </w:r>
            <w:r w:rsidR="005A278C">
              <w:rPr>
                <w:lang w:val="en-AU"/>
              </w:rPr>
              <w:t xml:space="preserve"> food consumption</w:t>
            </w:r>
            <w:r w:rsidR="00FB66CB">
              <w:rPr>
                <w:lang w:val="en-AU"/>
              </w:rPr>
              <w:t xml:space="preserve"> as </w:t>
            </w:r>
            <w:r w:rsidR="003933C5">
              <w:rPr>
                <w:lang w:val="en-AU"/>
              </w:rPr>
              <w:t>both a personal and</w:t>
            </w:r>
            <w:r w:rsidR="00FB66CB">
              <w:rPr>
                <w:lang w:val="en-AU"/>
              </w:rPr>
              <w:t xml:space="preserve"> public </w:t>
            </w:r>
            <w:r w:rsidR="00446DE9">
              <w:rPr>
                <w:lang w:val="en-AU"/>
              </w:rPr>
              <w:t xml:space="preserve">health </w:t>
            </w:r>
            <w:r w:rsidR="00FB66CB">
              <w:rPr>
                <w:lang w:val="en-AU"/>
              </w:rPr>
              <w:t xml:space="preserve">issue </w:t>
            </w:r>
            <w:r w:rsidR="00006C9C">
              <w:rPr>
                <w:lang w:val="en-AU"/>
              </w:rPr>
              <w:t>linked to</w:t>
            </w:r>
            <w:r w:rsidR="005A278C">
              <w:rPr>
                <w:lang w:val="en-AU"/>
              </w:rPr>
              <w:t xml:space="preserve"> work. </w:t>
            </w:r>
          </w:p>
          <w:p w14:paraId="092660B4" w14:textId="215D40FA" w:rsidR="00457521" w:rsidRPr="008C0A84" w:rsidRDefault="00C06EF2" w:rsidP="005A278C">
            <w:pPr>
              <w:pStyle w:val="VCAAtablecondensed"/>
              <w:rPr>
                <w:lang w:val="en-AU"/>
              </w:rPr>
            </w:pPr>
            <w:r>
              <w:rPr>
                <w:lang w:val="en-AU"/>
              </w:rPr>
              <w:t>Teacher facilitates understanding of links between energy-dense foods and diet-related challenges that many people have long been working to resolve.</w:t>
            </w:r>
          </w:p>
        </w:tc>
      </w:tr>
      <w:tr w:rsidR="00254888" w:rsidRPr="008C0A84" w14:paraId="47C09381" w14:textId="77777777" w:rsidTr="00567FD3">
        <w:tc>
          <w:tcPr>
            <w:tcW w:w="3964" w:type="dxa"/>
          </w:tcPr>
          <w:p w14:paraId="1860F589" w14:textId="11927CCE" w:rsidR="005F22A2" w:rsidRDefault="00307D21" w:rsidP="005A278C">
            <w:pPr>
              <w:pStyle w:val="VCAAtablecondensed"/>
              <w:rPr>
                <w:lang w:val="en-AU"/>
              </w:rPr>
            </w:pPr>
            <w:r>
              <w:rPr>
                <w:lang w:val="en-AU"/>
              </w:rPr>
              <w:t>Teacher</w:t>
            </w:r>
            <w:r w:rsidR="00946A4A">
              <w:rPr>
                <w:lang w:val="en-AU"/>
              </w:rPr>
              <w:t xml:space="preserve"> directs </w:t>
            </w:r>
            <w:r w:rsidR="005A278C">
              <w:rPr>
                <w:lang w:val="en-AU"/>
              </w:rPr>
              <w:t>i</w:t>
            </w:r>
            <w:r w:rsidR="00946A4A">
              <w:rPr>
                <w:lang w:val="en-AU"/>
              </w:rPr>
              <w:t>nquiry and/or discussion of links between overconsumption of popular fried foods and the impact on the health of individuals and communities.</w:t>
            </w:r>
            <w:r w:rsidR="005F22A2">
              <w:rPr>
                <w:lang w:val="en-AU"/>
              </w:rPr>
              <w:t xml:space="preserve"> </w:t>
            </w:r>
          </w:p>
          <w:p w14:paraId="123E135F" w14:textId="5D1AB820" w:rsidR="00254888" w:rsidRPr="008C0A84" w:rsidRDefault="005F22A2" w:rsidP="00124A8B">
            <w:pPr>
              <w:pStyle w:val="VCAAtablecondensed"/>
              <w:rPr>
                <w:lang w:val="en-AU"/>
              </w:rPr>
            </w:pPr>
            <w:r>
              <w:rPr>
                <w:lang w:val="en-AU"/>
              </w:rPr>
              <w:t>Students contribute food preparation ideas for enhancing both the sensory experience and nutritional value of potatoes</w:t>
            </w:r>
            <w:r w:rsidR="00CE66A8">
              <w:rPr>
                <w:lang w:val="en-AU"/>
              </w:rPr>
              <w:t>/potato dishes</w:t>
            </w:r>
            <w:r>
              <w:rPr>
                <w:lang w:val="en-AU"/>
              </w:rPr>
              <w:t>.</w:t>
            </w:r>
            <w:r w:rsidR="00124A8B">
              <w:rPr>
                <w:lang w:val="en-AU"/>
              </w:rPr>
              <w:t xml:space="preserve"> </w:t>
            </w:r>
            <w:r w:rsidR="00CE66A8">
              <w:rPr>
                <w:lang w:val="en-AU"/>
              </w:rPr>
              <w:lastRenderedPageBreak/>
              <w:t>(</w:t>
            </w:r>
            <w:r w:rsidR="00124A8B">
              <w:rPr>
                <w:lang w:val="en-AU"/>
              </w:rPr>
              <w:t>Nutritional values of suggested improvements, for example using herbs, bastes, or combination mashes, can be investigated using FSANZ’s online Nutrition Panel Calculator.</w:t>
            </w:r>
            <w:r w:rsidR="00CE66A8">
              <w:rPr>
                <w:lang w:val="en-AU"/>
              </w:rPr>
              <w:t>)</w:t>
            </w:r>
          </w:p>
        </w:tc>
        <w:tc>
          <w:tcPr>
            <w:tcW w:w="5925" w:type="dxa"/>
          </w:tcPr>
          <w:p w14:paraId="7279DA82" w14:textId="43FF6118" w:rsidR="00072AF1" w:rsidRPr="00B74D78" w:rsidRDefault="00C06EF2" w:rsidP="0081274A">
            <w:pPr>
              <w:pStyle w:val="VCAAtablecondensed"/>
              <w:rPr>
                <w:lang w:val="en-AU"/>
              </w:rPr>
            </w:pPr>
            <w:r>
              <w:rPr>
                <w:lang w:val="en-AU"/>
              </w:rPr>
              <w:lastRenderedPageBreak/>
              <w:t xml:space="preserve">Teacher next poses the question: ‘What if it was your job to help people to fall out of love with fried food?’ </w:t>
            </w:r>
            <w:r w:rsidR="002F2FD2">
              <w:rPr>
                <w:lang w:val="en-AU"/>
              </w:rPr>
              <w:t>S</w:t>
            </w:r>
            <w:r w:rsidR="00C20CED">
              <w:rPr>
                <w:lang w:val="en-AU"/>
              </w:rPr>
              <w:t xml:space="preserve">tudents consider </w:t>
            </w:r>
            <w:r w:rsidR="005F22A2">
              <w:rPr>
                <w:lang w:val="en-AU"/>
              </w:rPr>
              <w:t xml:space="preserve">the work of governments and health professionals to address community health issues such as obesity and </w:t>
            </w:r>
            <w:r w:rsidR="002F2FD2">
              <w:rPr>
                <w:lang w:val="en-AU"/>
              </w:rPr>
              <w:t xml:space="preserve">suggest reasons </w:t>
            </w:r>
            <w:r w:rsidR="005F22A2">
              <w:rPr>
                <w:lang w:val="en-AU"/>
              </w:rPr>
              <w:t xml:space="preserve">why they have had limited success. </w:t>
            </w:r>
            <w:r w:rsidR="00307D21">
              <w:rPr>
                <w:lang w:val="en-AU"/>
              </w:rPr>
              <w:t>As pa</w:t>
            </w:r>
            <w:r w:rsidR="00D9250E">
              <w:rPr>
                <w:lang w:val="en-AU"/>
              </w:rPr>
              <w:t>rt</w:t>
            </w:r>
            <w:r w:rsidR="00307D21">
              <w:rPr>
                <w:lang w:val="en-AU"/>
              </w:rPr>
              <w:t xml:space="preserve"> of this consideration, students explore </w:t>
            </w:r>
            <w:r w:rsidR="00BF09CB">
              <w:rPr>
                <w:lang w:val="en-AU"/>
              </w:rPr>
              <w:t xml:space="preserve">what activities such roles entail, </w:t>
            </w:r>
            <w:r w:rsidR="00307D21">
              <w:rPr>
                <w:lang w:val="en-AU"/>
              </w:rPr>
              <w:t xml:space="preserve">and </w:t>
            </w:r>
            <w:r w:rsidR="00BF09CB">
              <w:rPr>
                <w:lang w:val="en-AU"/>
              </w:rPr>
              <w:t>what skills would they need to develop and use</w:t>
            </w:r>
            <w:r w:rsidR="00307D21">
              <w:rPr>
                <w:lang w:val="en-AU"/>
              </w:rPr>
              <w:t xml:space="preserve"> to work in these fields</w:t>
            </w:r>
            <w:r w:rsidR="00BF09CB">
              <w:rPr>
                <w:lang w:val="en-AU"/>
              </w:rPr>
              <w:t xml:space="preserve">. At this level, curiosity about the variety of roles and work activities in the health industry </w:t>
            </w:r>
            <w:r w:rsidR="00BF09CB">
              <w:rPr>
                <w:lang w:val="en-AU"/>
              </w:rPr>
              <w:lastRenderedPageBreak/>
              <w:t xml:space="preserve">should be strongly encouraged, given that it is </w:t>
            </w:r>
            <w:r w:rsidR="0081274A">
              <w:rPr>
                <w:lang w:val="en-AU"/>
              </w:rPr>
              <w:t xml:space="preserve">a </w:t>
            </w:r>
            <w:r w:rsidR="00BF09CB">
              <w:rPr>
                <w:lang w:val="en-AU"/>
              </w:rPr>
              <w:t xml:space="preserve">fast-growing industry in Australia. </w:t>
            </w:r>
          </w:p>
        </w:tc>
      </w:tr>
      <w:tr w:rsidR="00FA0369" w:rsidRPr="008C0A84" w14:paraId="3F7C9F0C" w14:textId="77777777" w:rsidTr="00567FD3">
        <w:tc>
          <w:tcPr>
            <w:tcW w:w="3964" w:type="dxa"/>
            <w:tcBorders>
              <w:bottom w:val="single" w:sz="4" w:space="0" w:color="auto"/>
            </w:tcBorders>
          </w:tcPr>
          <w:p w14:paraId="446FB8DB" w14:textId="304FB9CB" w:rsidR="00FA0369" w:rsidRPr="008C0A84" w:rsidRDefault="00307D21" w:rsidP="0095670B">
            <w:pPr>
              <w:pStyle w:val="VCAAtablecondensed"/>
              <w:rPr>
                <w:lang w:val="en-AU"/>
              </w:rPr>
            </w:pPr>
            <w:r>
              <w:rPr>
                <w:lang w:val="en-AU"/>
              </w:rPr>
              <w:lastRenderedPageBreak/>
              <w:t>Teacher</w:t>
            </w:r>
            <w:r w:rsidR="00EE54F2">
              <w:rPr>
                <w:lang w:val="en-AU"/>
              </w:rPr>
              <w:t xml:space="preserve"> </w:t>
            </w:r>
            <w:r w:rsidR="002376E2">
              <w:rPr>
                <w:lang w:val="en-AU"/>
              </w:rPr>
              <w:t>leads a reflection on students’</w:t>
            </w:r>
            <w:r w:rsidR="00EE54F2">
              <w:rPr>
                <w:lang w:val="en-AU"/>
              </w:rPr>
              <w:t xml:space="preserve"> understanding of food preparation methods, the concept of kilojoules/energy values of various foods, and the optimisation of food from sensory and nutritional perspectives.</w:t>
            </w:r>
          </w:p>
        </w:tc>
        <w:tc>
          <w:tcPr>
            <w:tcW w:w="5925" w:type="dxa"/>
            <w:tcBorders>
              <w:bottom w:val="single" w:sz="4" w:space="0" w:color="auto"/>
            </w:tcBorders>
          </w:tcPr>
          <w:p w14:paraId="492847A1" w14:textId="7E4AE46F" w:rsidR="002376E2" w:rsidRDefault="00EE54F2" w:rsidP="002F2FD2">
            <w:pPr>
              <w:pStyle w:val="VCAAtablecondensed"/>
              <w:rPr>
                <w:lang w:val="en-AU"/>
              </w:rPr>
            </w:pPr>
            <w:r>
              <w:rPr>
                <w:lang w:val="en-AU"/>
              </w:rPr>
              <w:t>T</w:t>
            </w:r>
            <w:r w:rsidR="0032102A">
              <w:rPr>
                <w:lang w:val="en-AU"/>
              </w:rPr>
              <w:t>eacher leads a reflection on ‘optimisation of food’ and the skills roles go into creating and advertising healthier, but still appealing, food. Students should reflect on what roles they feel they would be most attracted to, based on the skills that they explored in this activity.</w:t>
            </w:r>
          </w:p>
          <w:p w14:paraId="0D137BAF" w14:textId="15FBF6FD" w:rsidR="00403097" w:rsidRPr="00B74D78" w:rsidRDefault="00403097" w:rsidP="002F2FD2">
            <w:pPr>
              <w:pStyle w:val="VCAAtablecondensed"/>
              <w:rPr>
                <w:lang w:val="en-AU"/>
              </w:rPr>
            </w:pP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60ACE0FC" w14:textId="1A2A5FAD" w:rsidR="00DB533D" w:rsidRDefault="00301076" w:rsidP="00124A8B">
      <w:pPr>
        <w:pStyle w:val="VCAAbullet"/>
        <w:rPr>
          <w:lang w:eastAsia="en-AU"/>
        </w:rPr>
      </w:pPr>
      <w:r>
        <w:t xml:space="preserve">The exploration of roles that tackle over-consumption of fried food could be limited to one industry or sector, </w:t>
      </w:r>
      <w:r w:rsidRPr="00661104">
        <w:t>for example the health-promotion work of organisations such as VicHealth</w:t>
      </w:r>
      <w:r w:rsidR="0032102A">
        <w:t>,</w:t>
      </w:r>
      <w:r w:rsidRPr="00661104">
        <w:t xml:space="preserve"> or it could lean toward recipe development and innovation in food services or industries</w:t>
      </w:r>
      <w:r>
        <w:t>.</w:t>
      </w:r>
    </w:p>
    <w:p w14:paraId="11F8A002" w14:textId="77777777" w:rsidR="00DB533D" w:rsidRDefault="00DB533D" w:rsidP="00DB533D">
      <w:pPr>
        <w:pStyle w:val="VCAAHeading4"/>
      </w:pPr>
      <w:r>
        <w:t xml:space="preserve">Additional resources to help when adapting the learning activity </w:t>
      </w:r>
    </w:p>
    <w:p w14:paraId="3285372A" w14:textId="77777777" w:rsidR="00B12147" w:rsidRPr="002376E2" w:rsidRDefault="00E73FF9" w:rsidP="00124A8B">
      <w:pPr>
        <w:pStyle w:val="VCAAbullet"/>
      </w:pPr>
      <w:hyperlink r:id="rId12" w:history="1">
        <w:r w:rsidR="00B12147" w:rsidRPr="00B12147">
          <w:rPr>
            <w:rStyle w:val="Hyperlink"/>
            <w:lang w:val="en-AU"/>
          </w:rPr>
          <w:t>FSANZ Australian Food Composition Database</w:t>
        </w:r>
      </w:hyperlink>
    </w:p>
    <w:p w14:paraId="56DC9566" w14:textId="4A2CC021" w:rsidR="000440E2" w:rsidRPr="00403097" w:rsidRDefault="00E73FF9" w:rsidP="00124A8B">
      <w:pPr>
        <w:pStyle w:val="VCAAbullet"/>
        <w:rPr>
          <w:rStyle w:val="Hyperlink"/>
          <w:color w:val="000000" w:themeColor="text1"/>
          <w:u w:val="none"/>
        </w:rPr>
      </w:pPr>
      <w:hyperlink r:id="rId13" w:history="1">
        <w:r w:rsidR="00C3139A" w:rsidRPr="00B12147">
          <w:rPr>
            <w:rStyle w:val="Hyperlink"/>
            <w:lang w:val="en-AU"/>
          </w:rPr>
          <w:t>FSANZ Nutrition Panel Calculator</w:t>
        </w:r>
      </w:hyperlink>
      <w:r w:rsidR="005C1A1D">
        <w:rPr>
          <w:rStyle w:val="Hyperlink"/>
          <w:color w:val="auto"/>
          <w:u w:val="none"/>
          <w:lang w:val="en-AU"/>
        </w:rPr>
        <w:t xml:space="preserve"> </w:t>
      </w:r>
    </w:p>
    <w:p w14:paraId="3FD431DF" w14:textId="50155E54" w:rsidR="00403097" w:rsidRPr="00DB533D" w:rsidRDefault="00403097" w:rsidP="00124A8B">
      <w:pPr>
        <w:pStyle w:val="VCAAbullet"/>
      </w:pPr>
      <w:r>
        <w:rPr>
          <w:lang w:val="en-AU"/>
        </w:rPr>
        <w:t>Easily accessible labour market information:</w:t>
      </w:r>
      <w:r>
        <w:t xml:space="preserve"> </w:t>
      </w:r>
      <w:hyperlink r:id="rId14" w:history="1">
        <w:r w:rsidR="0032102A">
          <w:rPr>
            <w:rStyle w:val="Hyperlink"/>
          </w:rPr>
          <w:t>Job Outlook</w:t>
        </w:r>
      </w:hyperlink>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28ED2E44" w:rsidR="00F01253" w:rsidRPr="002376E2" w:rsidRDefault="00F01253" w:rsidP="00F01253">
      <w:pPr>
        <w:pStyle w:val="VCAAbody"/>
      </w:pPr>
      <w:r w:rsidRPr="008C0A84">
        <w:rPr>
          <w:lang w:val="en-AU"/>
        </w:rPr>
        <w:t xml:space="preserve">Self-development: </w:t>
      </w:r>
    </w:p>
    <w:p w14:paraId="775A40D1" w14:textId="7E3C3A22" w:rsidR="00301076" w:rsidRPr="00301076" w:rsidRDefault="00301076" w:rsidP="00CE66A8">
      <w:pPr>
        <w:pStyle w:val="VCAAbullet"/>
        <w:rPr>
          <w:lang w:eastAsia="en-AU"/>
        </w:rPr>
      </w:pPr>
      <w:r w:rsidRPr="00301076">
        <w:rPr>
          <w:lang w:eastAsia="en-AU"/>
        </w:rPr>
        <w:t xml:space="preserve">By identifying skills needed to develop and use to work in health care, students can better </w:t>
      </w:r>
      <w:proofErr w:type="spellStart"/>
      <w:r w:rsidRPr="00301076">
        <w:rPr>
          <w:lang w:eastAsia="en-AU"/>
        </w:rPr>
        <w:t>know</w:t>
      </w:r>
      <w:proofErr w:type="spellEnd"/>
      <w:r w:rsidRPr="00301076">
        <w:rPr>
          <w:lang w:eastAsia="en-AU"/>
        </w:rPr>
        <w:t xml:space="preserve"> themselves.</w:t>
      </w:r>
    </w:p>
    <w:p w14:paraId="1EA48813" w14:textId="38D9D2FA" w:rsidR="00CE66A8" w:rsidRPr="002376E2" w:rsidRDefault="002376E2" w:rsidP="00CE66A8">
      <w:pPr>
        <w:pStyle w:val="VCAAbullet"/>
        <w:rPr>
          <w:lang w:eastAsia="en-AU"/>
        </w:rPr>
      </w:pPr>
      <w:r>
        <w:rPr>
          <w:lang w:val="en-AU"/>
        </w:rPr>
        <w:t>Students learn to be adaptable through i</w:t>
      </w:r>
      <w:r w:rsidR="000440E2" w:rsidRPr="002376E2">
        <w:rPr>
          <w:lang w:val="en-AU"/>
        </w:rPr>
        <w:t xml:space="preserve">dentifying dietary issues associated with foods, and proposing positive actions </w:t>
      </w:r>
      <w:r w:rsidR="0068515D" w:rsidRPr="002376E2">
        <w:rPr>
          <w:lang w:val="en-AU"/>
        </w:rPr>
        <w:t xml:space="preserve">for individuals and </w:t>
      </w:r>
      <w:r w:rsidR="000440E2" w:rsidRPr="002376E2">
        <w:rPr>
          <w:lang w:val="en-AU"/>
        </w:rPr>
        <w:t>communit</w:t>
      </w:r>
      <w:r w:rsidR="00C3139A" w:rsidRPr="002376E2">
        <w:rPr>
          <w:lang w:val="en-AU"/>
        </w:rPr>
        <w:t>ies</w:t>
      </w:r>
      <w:r w:rsidR="00086A59" w:rsidRPr="002376E2">
        <w:rPr>
          <w:lang w:val="en-AU"/>
        </w:rPr>
        <w:t>.</w:t>
      </w:r>
    </w:p>
    <w:p w14:paraId="66FA02DD" w14:textId="21C4608B" w:rsidR="00F01253" w:rsidRPr="002376E2" w:rsidRDefault="00F01253" w:rsidP="00F01253">
      <w:pPr>
        <w:pStyle w:val="VCAAbody"/>
        <w:rPr>
          <w:lang w:val="en-AU"/>
        </w:rPr>
      </w:pPr>
      <w:r w:rsidRPr="002376E2">
        <w:rPr>
          <w:lang w:val="en-AU"/>
        </w:rPr>
        <w:t xml:space="preserve">Career exploration: </w:t>
      </w:r>
    </w:p>
    <w:p w14:paraId="54792DCF" w14:textId="7469520B" w:rsidR="0068515D" w:rsidRPr="002376E2" w:rsidRDefault="002376E2" w:rsidP="000440E2">
      <w:pPr>
        <w:pStyle w:val="VCAAbullet"/>
        <w:rPr>
          <w:lang w:val="en-AU"/>
        </w:rPr>
      </w:pPr>
      <w:r>
        <w:t>Through u</w:t>
      </w:r>
      <w:r w:rsidR="0068515D" w:rsidRPr="002376E2">
        <w:t>sing technology and information effectively to collect food and nutrition data, draw conclusions and suggest solutions</w:t>
      </w:r>
      <w:r>
        <w:t>, students gain tools</w:t>
      </w:r>
      <w:r w:rsidR="0068515D" w:rsidRPr="002376E2">
        <w:t xml:space="preserve"> </w:t>
      </w:r>
      <w:r>
        <w:t xml:space="preserve">to </w:t>
      </w:r>
      <w:r w:rsidR="0068515D" w:rsidRPr="002376E2">
        <w:t>be lifelong learner</w:t>
      </w:r>
      <w:r>
        <w:t>s</w:t>
      </w:r>
      <w:r w:rsidR="0068515D" w:rsidRPr="002376E2">
        <w:t>.</w:t>
      </w:r>
    </w:p>
    <w:p w14:paraId="235EE798" w14:textId="009E0B18" w:rsidR="00DB533D" w:rsidRPr="002376E2" w:rsidRDefault="00D9250E" w:rsidP="000440E2">
      <w:pPr>
        <w:pStyle w:val="VCAAbullet"/>
        <w:rPr>
          <w:lang w:val="en-AU"/>
        </w:rPr>
      </w:pPr>
      <w:r w:rsidRPr="002376E2">
        <w:rPr>
          <w:lang w:val="en-AU"/>
        </w:rPr>
        <w:t xml:space="preserve">By exploring </w:t>
      </w:r>
      <w:r w:rsidR="000134AD" w:rsidRPr="002376E2">
        <w:rPr>
          <w:lang w:val="en-AU"/>
        </w:rPr>
        <w:t xml:space="preserve">and role-playing </w:t>
      </w:r>
      <w:r w:rsidRPr="002376E2">
        <w:rPr>
          <w:lang w:val="en-AU"/>
        </w:rPr>
        <w:t xml:space="preserve">professions that aim to influence consumer behaviour, students better understand the world of work. </w:t>
      </w:r>
    </w:p>
    <w:p w14:paraId="350B2150" w14:textId="24BF85A2" w:rsidR="0068515D" w:rsidRPr="002376E2" w:rsidRDefault="00C3139A" w:rsidP="0068515D">
      <w:pPr>
        <w:pStyle w:val="VCAAbullet"/>
      </w:pPr>
      <w:r w:rsidRPr="002376E2">
        <w:t>Awareness</w:t>
      </w:r>
      <w:r w:rsidR="0068515D" w:rsidRPr="002376E2">
        <w:t xml:space="preserve"> of the work and aims of professional food- and health-related organisations such as </w:t>
      </w:r>
      <w:r w:rsidRPr="002376E2">
        <w:t>Food Standards Australia New Zealand (FSANZ) assists students to</w:t>
      </w:r>
      <w:r w:rsidR="0068515D" w:rsidRPr="002376E2">
        <w:t xml:space="preserve"> connect their learning to work.</w:t>
      </w:r>
    </w:p>
    <w:p w14:paraId="627667E0" w14:textId="608B97F7" w:rsidR="00301076" w:rsidRPr="002376E2" w:rsidRDefault="00301076" w:rsidP="0068515D">
      <w:pPr>
        <w:pStyle w:val="VCAAbullet"/>
      </w:pPr>
      <w:r w:rsidRPr="002376E2">
        <w:t xml:space="preserve">By </w:t>
      </w:r>
      <w:r w:rsidR="002376E2">
        <w:t>investigating</w:t>
      </w:r>
      <w:r w:rsidRPr="002376E2">
        <w:t xml:space="preserve"> a current public health issue and a range of careers that identify and tackle the issue, students begin to explore the labour market.</w:t>
      </w:r>
    </w:p>
    <w:p w14:paraId="5E11C16D" w14:textId="6343A297" w:rsidR="00F01253" w:rsidRPr="002376E2" w:rsidRDefault="0032102A" w:rsidP="00F01253">
      <w:pPr>
        <w:pStyle w:val="VCAAbody"/>
        <w:rPr>
          <w:lang w:val="en-AU"/>
        </w:rPr>
      </w:pPr>
      <w:r w:rsidRPr="0032102A">
        <w:rPr>
          <w:lang w:val="en-AU"/>
        </w:rPr>
        <w:t>Manage your future – be proactive:</w:t>
      </w:r>
    </w:p>
    <w:p w14:paraId="5DD6FFBA" w14:textId="44D5A940" w:rsidR="00F01253" w:rsidRPr="002376E2" w:rsidRDefault="00301076" w:rsidP="000440E2">
      <w:pPr>
        <w:pStyle w:val="VCAAbullet"/>
      </w:pPr>
      <w:r w:rsidRPr="002376E2">
        <w:rPr>
          <w:lang w:val="en-AU"/>
        </w:rPr>
        <w:t xml:space="preserve">Students </w:t>
      </w:r>
      <w:r w:rsidR="0032102A">
        <w:rPr>
          <w:lang w:val="en-AU"/>
        </w:rPr>
        <w:t>must use</w:t>
      </w:r>
      <w:r w:rsidRPr="002376E2">
        <w:rPr>
          <w:lang w:val="en-AU"/>
        </w:rPr>
        <w:t xml:space="preserve"> critical and creative</w:t>
      </w:r>
      <w:r w:rsidR="0032102A">
        <w:rPr>
          <w:lang w:val="en-AU"/>
        </w:rPr>
        <w:t xml:space="preserve"> thinking</w:t>
      </w:r>
      <w:r w:rsidRPr="002376E2">
        <w:rPr>
          <w:lang w:val="en-AU"/>
        </w:rPr>
        <w:t xml:space="preserve"> through the problem-solving phase of this task</w:t>
      </w:r>
      <w:r w:rsidR="002376E2">
        <w:rPr>
          <w:lang w:val="en-AU"/>
        </w:rPr>
        <w:t xml:space="preserve">, </w:t>
      </w:r>
      <w:r w:rsidR="0032102A">
        <w:rPr>
          <w:lang w:val="en-AU"/>
        </w:rPr>
        <w:t>developing the skills they need</w:t>
      </w:r>
      <w:r w:rsidR="002376E2">
        <w:rPr>
          <w:lang w:val="en-AU"/>
        </w:rPr>
        <w:t xml:space="preserve"> to make informed decisions</w:t>
      </w:r>
      <w:r w:rsidRPr="002376E2">
        <w:rPr>
          <w:lang w:val="en-AU"/>
        </w:rPr>
        <w:t>.</w:t>
      </w:r>
    </w:p>
    <w:sectPr w:rsidR="00F01253" w:rsidRPr="002376E2"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5C4C7" w14:textId="77777777" w:rsidR="002E6BA3" w:rsidRDefault="002E6BA3" w:rsidP="00304EA1">
      <w:pPr>
        <w:spacing w:after="0" w:line="240" w:lineRule="auto"/>
      </w:pPr>
      <w:r>
        <w:separator/>
      </w:r>
    </w:p>
  </w:endnote>
  <w:endnote w:type="continuationSeparator" w:id="0">
    <w:p w14:paraId="7684A222" w14:textId="77777777" w:rsidR="002E6BA3" w:rsidRDefault="002E6BA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2E6BA3" w:rsidRPr="00D06414" w14:paraId="6474FD3B" w14:textId="77777777" w:rsidTr="00BB3BAB">
      <w:trPr>
        <w:trHeight w:val="476"/>
      </w:trPr>
      <w:tc>
        <w:tcPr>
          <w:tcW w:w="1667" w:type="pct"/>
          <w:tcMar>
            <w:left w:w="0" w:type="dxa"/>
            <w:right w:w="0" w:type="dxa"/>
          </w:tcMar>
        </w:tcPr>
        <w:p w14:paraId="0EC15F2D" w14:textId="77777777" w:rsidR="002E6BA3" w:rsidRPr="00D06414" w:rsidRDefault="002E6BA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2E6BA3" w:rsidRPr="00D06414" w:rsidRDefault="002E6BA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A07A9F3" w:rsidR="002E6BA3" w:rsidRPr="00D06414" w:rsidRDefault="002E6BA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E73FF9">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2E6BA3" w:rsidRPr="00D06414" w:rsidRDefault="002E6BA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2E6BA3" w:rsidRPr="00D06414" w14:paraId="36A4ADC1" w14:textId="77777777" w:rsidTr="000F5AAF">
      <w:tc>
        <w:tcPr>
          <w:tcW w:w="1459" w:type="pct"/>
          <w:tcMar>
            <w:left w:w="0" w:type="dxa"/>
            <w:right w:w="0" w:type="dxa"/>
          </w:tcMar>
        </w:tcPr>
        <w:p w14:paraId="74DB1FC2" w14:textId="77777777" w:rsidR="002E6BA3" w:rsidRPr="00D06414" w:rsidRDefault="002E6BA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2E6BA3" w:rsidRPr="00D06414" w:rsidRDefault="002E6BA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2E6BA3" w:rsidRPr="00D06414" w:rsidRDefault="002E6BA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2E6BA3" w:rsidRPr="00D06414" w:rsidRDefault="002E6BA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E64F5" w14:textId="77777777" w:rsidR="002E6BA3" w:rsidRDefault="002E6BA3" w:rsidP="00304EA1">
      <w:pPr>
        <w:spacing w:after="0" w:line="240" w:lineRule="auto"/>
      </w:pPr>
      <w:r>
        <w:separator/>
      </w:r>
    </w:p>
  </w:footnote>
  <w:footnote w:type="continuationSeparator" w:id="0">
    <w:p w14:paraId="7C97CB02" w14:textId="77777777" w:rsidR="002E6BA3" w:rsidRDefault="002E6BA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413AFD17" w:rsidR="002E6BA3" w:rsidRPr="0038622E" w:rsidRDefault="002E6BA3" w:rsidP="0038622E">
    <w:pPr>
      <w:pStyle w:val="VCAAbody"/>
      <w:rPr>
        <w:color w:val="0F7EB4"/>
      </w:rPr>
    </w:pPr>
    <w:r>
      <w:t xml:space="preserve">Embedding career education in the Victorian Curriculum F–10 – Design and Technologies – Food </w:t>
    </w:r>
    <w:proofErr w:type="spellStart"/>
    <w:r>
      <w:t>specialisations</w:t>
    </w:r>
    <w:proofErr w:type="spellEnd"/>
    <w:r>
      <w:t>, Levels 7 and 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2E6BA3" w:rsidRPr="009370BC" w:rsidRDefault="002E6BA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E7CB8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0E65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80AF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A862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12B0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60FF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A825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617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964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5CC2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E1BEE2BE"/>
    <w:lvl w:ilvl="0" w:tplc="17209BC0">
      <w:start w:val="1"/>
      <w:numFmt w:val="bullet"/>
      <w:pStyle w:val="VCAAbullet"/>
      <w:lvlText w:val=""/>
      <w:lvlJc w:val="left"/>
      <w:pPr>
        <w:ind w:left="502"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6D50FE3C"/>
    <w:lvl w:ilvl="0" w:tplc="0F523D8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1"/>
  </w:num>
  <w:num w:numId="2">
    <w:abstractNumId w:val="17"/>
  </w:num>
  <w:num w:numId="3">
    <w:abstractNumId w:val="15"/>
  </w:num>
  <w:num w:numId="4">
    <w:abstractNumId w:val="11"/>
  </w:num>
  <w:num w:numId="5">
    <w:abstractNumId w:val="20"/>
  </w:num>
  <w:num w:numId="6">
    <w:abstractNumId w:val="14"/>
  </w:num>
  <w:num w:numId="7">
    <w:abstractNumId w:val="12"/>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6C9C"/>
    <w:rsid w:val="00006F03"/>
    <w:rsid w:val="000134AD"/>
    <w:rsid w:val="00033048"/>
    <w:rsid w:val="000440E2"/>
    <w:rsid w:val="0005378E"/>
    <w:rsid w:val="0005780E"/>
    <w:rsid w:val="00065CC6"/>
    <w:rsid w:val="00072AF1"/>
    <w:rsid w:val="00086A59"/>
    <w:rsid w:val="00086CFC"/>
    <w:rsid w:val="00092F94"/>
    <w:rsid w:val="00097F58"/>
    <w:rsid w:val="000A71F7"/>
    <w:rsid w:val="000B152F"/>
    <w:rsid w:val="000B312A"/>
    <w:rsid w:val="000B5EF6"/>
    <w:rsid w:val="000C32C9"/>
    <w:rsid w:val="000F09E4"/>
    <w:rsid w:val="000F16FD"/>
    <w:rsid w:val="000F5AAF"/>
    <w:rsid w:val="000F74EF"/>
    <w:rsid w:val="00112832"/>
    <w:rsid w:val="0012374D"/>
    <w:rsid w:val="00124A8B"/>
    <w:rsid w:val="00124C79"/>
    <w:rsid w:val="00143520"/>
    <w:rsid w:val="001513AC"/>
    <w:rsid w:val="00153AD2"/>
    <w:rsid w:val="001779EA"/>
    <w:rsid w:val="001926FE"/>
    <w:rsid w:val="001A39A9"/>
    <w:rsid w:val="001C3679"/>
    <w:rsid w:val="001D3246"/>
    <w:rsid w:val="001F5D88"/>
    <w:rsid w:val="0021778A"/>
    <w:rsid w:val="002279BA"/>
    <w:rsid w:val="002329F3"/>
    <w:rsid w:val="002376E2"/>
    <w:rsid w:val="00243F0D"/>
    <w:rsid w:val="00254888"/>
    <w:rsid w:val="00255852"/>
    <w:rsid w:val="00257AA7"/>
    <w:rsid w:val="00260767"/>
    <w:rsid w:val="002647BB"/>
    <w:rsid w:val="002754C1"/>
    <w:rsid w:val="002841C8"/>
    <w:rsid w:val="0028516B"/>
    <w:rsid w:val="00294A14"/>
    <w:rsid w:val="002B103A"/>
    <w:rsid w:val="002C0EED"/>
    <w:rsid w:val="002C54B3"/>
    <w:rsid w:val="002C6F90"/>
    <w:rsid w:val="002E4FB5"/>
    <w:rsid w:val="002E6BA3"/>
    <w:rsid w:val="002F2FD2"/>
    <w:rsid w:val="00301076"/>
    <w:rsid w:val="00302FB8"/>
    <w:rsid w:val="00302FE5"/>
    <w:rsid w:val="00304EA1"/>
    <w:rsid w:val="00307D21"/>
    <w:rsid w:val="00314D81"/>
    <w:rsid w:val="0032102A"/>
    <w:rsid w:val="00322FC6"/>
    <w:rsid w:val="0035055E"/>
    <w:rsid w:val="003506F6"/>
    <w:rsid w:val="0035293F"/>
    <w:rsid w:val="0038622E"/>
    <w:rsid w:val="00391986"/>
    <w:rsid w:val="00392864"/>
    <w:rsid w:val="003933C5"/>
    <w:rsid w:val="003A00B4"/>
    <w:rsid w:val="003A1D32"/>
    <w:rsid w:val="003C394F"/>
    <w:rsid w:val="003C5E71"/>
    <w:rsid w:val="003E2DAE"/>
    <w:rsid w:val="003F3ADB"/>
    <w:rsid w:val="00403097"/>
    <w:rsid w:val="004109DB"/>
    <w:rsid w:val="00411D26"/>
    <w:rsid w:val="00417AA3"/>
    <w:rsid w:val="00421DB1"/>
    <w:rsid w:val="00425DFE"/>
    <w:rsid w:val="00425FD1"/>
    <w:rsid w:val="00434EDB"/>
    <w:rsid w:val="00440B32"/>
    <w:rsid w:val="00443765"/>
    <w:rsid w:val="00446DE9"/>
    <w:rsid w:val="004528D5"/>
    <w:rsid w:val="00457521"/>
    <w:rsid w:val="0046078D"/>
    <w:rsid w:val="00495C80"/>
    <w:rsid w:val="004A2ED8"/>
    <w:rsid w:val="004C32D4"/>
    <w:rsid w:val="004D70CD"/>
    <w:rsid w:val="004F5BDA"/>
    <w:rsid w:val="004F6DE0"/>
    <w:rsid w:val="0051631E"/>
    <w:rsid w:val="00537A1F"/>
    <w:rsid w:val="00544D92"/>
    <w:rsid w:val="00556958"/>
    <w:rsid w:val="00563E1D"/>
    <w:rsid w:val="00566029"/>
    <w:rsid w:val="00567FD3"/>
    <w:rsid w:val="005923CB"/>
    <w:rsid w:val="005A029D"/>
    <w:rsid w:val="005A278C"/>
    <w:rsid w:val="005B391B"/>
    <w:rsid w:val="005C1A1D"/>
    <w:rsid w:val="005D3D78"/>
    <w:rsid w:val="005D454C"/>
    <w:rsid w:val="005D7236"/>
    <w:rsid w:val="005E2EF0"/>
    <w:rsid w:val="005F22A2"/>
    <w:rsid w:val="005F4092"/>
    <w:rsid w:val="00601BBD"/>
    <w:rsid w:val="00610518"/>
    <w:rsid w:val="00621590"/>
    <w:rsid w:val="00661104"/>
    <w:rsid w:val="0068471E"/>
    <w:rsid w:val="00684F98"/>
    <w:rsid w:val="0068515D"/>
    <w:rsid w:val="006879D2"/>
    <w:rsid w:val="00693FFD"/>
    <w:rsid w:val="006B724D"/>
    <w:rsid w:val="006D2159"/>
    <w:rsid w:val="006F787C"/>
    <w:rsid w:val="00702636"/>
    <w:rsid w:val="00724507"/>
    <w:rsid w:val="007623B9"/>
    <w:rsid w:val="00773E6C"/>
    <w:rsid w:val="00781FB1"/>
    <w:rsid w:val="007852FC"/>
    <w:rsid w:val="007A0E4B"/>
    <w:rsid w:val="007D1B6D"/>
    <w:rsid w:val="007E7D1F"/>
    <w:rsid w:val="0081274A"/>
    <w:rsid w:val="00813C37"/>
    <w:rsid w:val="008154B5"/>
    <w:rsid w:val="00823962"/>
    <w:rsid w:val="00852719"/>
    <w:rsid w:val="00860115"/>
    <w:rsid w:val="008856FD"/>
    <w:rsid w:val="0088783C"/>
    <w:rsid w:val="00893B55"/>
    <w:rsid w:val="008A5FA1"/>
    <w:rsid w:val="008B1278"/>
    <w:rsid w:val="008C0A84"/>
    <w:rsid w:val="008D0ABF"/>
    <w:rsid w:val="008D57CA"/>
    <w:rsid w:val="00905484"/>
    <w:rsid w:val="009370BC"/>
    <w:rsid w:val="00946A4A"/>
    <w:rsid w:val="0095670B"/>
    <w:rsid w:val="00961E2B"/>
    <w:rsid w:val="00970580"/>
    <w:rsid w:val="0098739B"/>
    <w:rsid w:val="009B61E5"/>
    <w:rsid w:val="009D1E89"/>
    <w:rsid w:val="009D3AA3"/>
    <w:rsid w:val="009E346A"/>
    <w:rsid w:val="009E5707"/>
    <w:rsid w:val="00A07330"/>
    <w:rsid w:val="00A13223"/>
    <w:rsid w:val="00A1537E"/>
    <w:rsid w:val="00A17661"/>
    <w:rsid w:val="00A24B2D"/>
    <w:rsid w:val="00A27DCD"/>
    <w:rsid w:val="00A40966"/>
    <w:rsid w:val="00A50E81"/>
    <w:rsid w:val="00A84D3E"/>
    <w:rsid w:val="00A921E0"/>
    <w:rsid w:val="00A922F4"/>
    <w:rsid w:val="00AB3DA1"/>
    <w:rsid w:val="00AD59D5"/>
    <w:rsid w:val="00AE5526"/>
    <w:rsid w:val="00AE5EB0"/>
    <w:rsid w:val="00AF051B"/>
    <w:rsid w:val="00B01578"/>
    <w:rsid w:val="00B0738F"/>
    <w:rsid w:val="00B12147"/>
    <w:rsid w:val="00B13D3B"/>
    <w:rsid w:val="00B230DB"/>
    <w:rsid w:val="00B26601"/>
    <w:rsid w:val="00B30E01"/>
    <w:rsid w:val="00B41951"/>
    <w:rsid w:val="00B51FA6"/>
    <w:rsid w:val="00B53229"/>
    <w:rsid w:val="00B62480"/>
    <w:rsid w:val="00B732A7"/>
    <w:rsid w:val="00B74D78"/>
    <w:rsid w:val="00B81B70"/>
    <w:rsid w:val="00BB3BAB"/>
    <w:rsid w:val="00BC4467"/>
    <w:rsid w:val="00BD0724"/>
    <w:rsid w:val="00BD2B91"/>
    <w:rsid w:val="00BE5521"/>
    <w:rsid w:val="00BF09CB"/>
    <w:rsid w:val="00BF6C23"/>
    <w:rsid w:val="00C06EF2"/>
    <w:rsid w:val="00C2005D"/>
    <w:rsid w:val="00C2042B"/>
    <w:rsid w:val="00C20CED"/>
    <w:rsid w:val="00C3139A"/>
    <w:rsid w:val="00C53263"/>
    <w:rsid w:val="00C6415E"/>
    <w:rsid w:val="00C75F1D"/>
    <w:rsid w:val="00C95156"/>
    <w:rsid w:val="00CA0DC2"/>
    <w:rsid w:val="00CB68E8"/>
    <w:rsid w:val="00CE66A8"/>
    <w:rsid w:val="00CF570E"/>
    <w:rsid w:val="00D04F01"/>
    <w:rsid w:val="00D06414"/>
    <w:rsid w:val="00D24E5A"/>
    <w:rsid w:val="00D338E4"/>
    <w:rsid w:val="00D35D07"/>
    <w:rsid w:val="00D36FA7"/>
    <w:rsid w:val="00D4304F"/>
    <w:rsid w:val="00D51947"/>
    <w:rsid w:val="00D532F0"/>
    <w:rsid w:val="00D77413"/>
    <w:rsid w:val="00D82759"/>
    <w:rsid w:val="00D86DE4"/>
    <w:rsid w:val="00D9250E"/>
    <w:rsid w:val="00DB533D"/>
    <w:rsid w:val="00DD33C3"/>
    <w:rsid w:val="00DE1909"/>
    <w:rsid w:val="00DE51DB"/>
    <w:rsid w:val="00E23F1D"/>
    <w:rsid w:val="00E30E05"/>
    <w:rsid w:val="00E34420"/>
    <w:rsid w:val="00E35D90"/>
    <w:rsid w:val="00E36361"/>
    <w:rsid w:val="00E55AE9"/>
    <w:rsid w:val="00E56D1D"/>
    <w:rsid w:val="00E60531"/>
    <w:rsid w:val="00E712D4"/>
    <w:rsid w:val="00E73FF9"/>
    <w:rsid w:val="00E9592C"/>
    <w:rsid w:val="00EA2830"/>
    <w:rsid w:val="00EB0C84"/>
    <w:rsid w:val="00EE54F2"/>
    <w:rsid w:val="00EF1E25"/>
    <w:rsid w:val="00F00161"/>
    <w:rsid w:val="00F01253"/>
    <w:rsid w:val="00F17FDE"/>
    <w:rsid w:val="00F40D53"/>
    <w:rsid w:val="00F4525C"/>
    <w:rsid w:val="00F50D86"/>
    <w:rsid w:val="00F53B41"/>
    <w:rsid w:val="00F6610F"/>
    <w:rsid w:val="00FA0369"/>
    <w:rsid w:val="00FB23F1"/>
    <w:rsid w:val="00FB66CB"/>
    <w:rsid w:val="00FD29D3"/>
    <w:rsid w:val="00FD76DE"/>
    <w:rsid w:val="00FE2873"/>
    <w:rsid w:val="00FE3F0B"/>
    <w:rsid w:val="00FE468F"/>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AF29F3"/>
  <w15:docId w15:val="{FE8D59E4-6ADF-40CB-BC9B-990C4A01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15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134AD"/>
    <w:pPr>
      <w:numPr>
        <w:numId w:val="22"/>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Tahoma" w:hAnsi="Tahoma"/>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Tahoma" w:hAnsi="Tahoma"/>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B12147"/>
    <w:rPr>
      <w:color w:val="605E5C"/>
      <w:shd w:val="clear" w:color="auto" w:fill="E1DFDD"/>
    </w:rPr>
  </w:style>
  <w:style w:type="character" w:styleId="FollowedHyperlink">
    <w:name w:val="FollowedHyperlink"/>
    <w:basedOn w:val="DefaultParagraphFont"/>
    <w:uiPriority w:val="99"/>
    <w:semiHidden/>
    <w:unhideWhenUsed/>
    <w:rsid w:val="004528D5"/>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odstandards.gov.au/industry/npc/Pages/Nutrition-Panel-Calculator-introduction.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odstandards.gov.au/science/monitoringnutrients/afcd/Pages/default.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DSTC047"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boutlook.gov.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FB551-7F6F-447C-9698-DBDC892A8B46}"/>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AC3235AF-4F6B-4E52-A00E-D8CB777E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subject/>
  <dc:creator>VCAA</dc:creator>
  <cp:keywords>career education, curriculum resources, design technologies</cp:keywords>
  <dc:description/>
  <cp:lastModifiedBy>Witt, Kylie I</cp:lastModifiedBy>
  <cp:revision>2</cp:revision>
  <cp:lastPrinted>2020-03-04T04:43:00Z</cp:lastPrinted>
  <dcterms:created xsi:type="dcterms:W3CDTF">2020-09-29T07:18:00Z</dcterms:created>
  <dcterms:modified xsi:type="dcterms:W3CDTF">2020-09-29T07:18:00Z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