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DC66DAA"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75FBDC34" w14:textId="77777777" w:rsidR="000C0535" w:rsidRPr="008C0A84" w:rsidRDefault="000C0535" w:rsidP="000C0535">
      <w:pPr>
        <w:pStyle w:val="VCAAHeading2"/>
        <w:rPr>
          <w:lang w:val="en-AU"/>
        </w:rPr>
      </w:pPr>
      <w:bookmarkStart w:id="0" w:name="TemplateOverview"/>
      <w:bookmarkEnd w:id="0"/>
      <w:r>
        <w:rPr>
          <w:lang w:val="en-AU"/>
        </w:rPr>
        <w:t>History</w:t>
      </w:r>
      <w:r w:rsidRPr="008C0A84">
        <w:rPr>
          <w:lang w:val="en-AU"/>
        </w:rPr>
        <w:t xml:space="preserve">, Levels </w:t>
      </w:r>
      <w:r>
        <w:rPr>
          <w:lang w:val="en-AU"/>
        </w:rPr>
        <w:t>9</w:t>
      </w:r>
      <w:r w:rsidRPr="008C0A84">
        <w:rPr>
          <w:lang w:val="en-AU"/>
        </w:rPr>
        <w:t xml:space="preserve"> and </w:t>
      </w:r>
      <w:r>
        <w:rPr>
          <w:lang w:val="en-AU"/>
        </w:rPr>
        <w:t>10</w:t>
      </w:r>
    </w:p>
    <w:p w14:paraId="2E354ED1" w14:textId="1069C7E3"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7770041A" w:rsidR="008B1278" w:rsidRPr="00D7283B" w:rsidRDefault="008B1278" w:rsidP="00255F33">
      <w:pPr>
        <w:pStyle w:val="VCAAbody-withlargetabandhangingindent"/>
      </w:pPr>
      <w:r w:rsidRPr="00D7283B">
        <w:rPr>
          <w:b/>
          <w:bCs/>
        </w:rPr>
        <w:t>Curriculum area and levels:</w:t>
      </w:r>
      <w:r w:rsidRPr="00D7283B">
        <w:tab/>
      </w:r>
      <w:r w:rsidR="000C0535">
        <w:t>History, Levels 9 and 10</w:t>
      </w:r>
    </w:p>
    <w:p w14:paraId="44A0E285" w14:textId="4AC70DDE" w:rsidR="008807A4" w:rsidRPr="00255F33" w:rsidRDefault="00254888" w:rsidP="00D7283B">
      <w:pPr>
        <w:pStyle w:val="VCAAbody-withlargetabandhangingindent"/>
        <w:rPr>
          <w:rStyle w:val="Hyperlink"/>
          <w:color w:val="000000" w:themeColor="text1"/>
          <w:u w:val="none"/>
        </w:rPr>
      </w:pPr>
      <w:r w:rsidRPr="00D7283B">
        <w:rPr>
          <w:b/>
          <w:bCs/>
        </w:rPr>
        <w:t>Relevant c</w:t>
      </w:r>
      <w:r w:rsidR="008B1278" w:rsidRPr="00D7283B">
        <w:rPr>
          <w:b/>
          <w:bCs/>
        </w:rPr>
        <w:t>ontent description:</w:t>
      </w:r>
      <w:r w:rsidR="008B1278" w:rsidRPr="00D97047">
        <w:tab/>
      </w:r>
      <w:r w:rsidR="000C0535" w:rsidRPr="00A77092">
        <w:rPr>
          <w:highlight w:val="white"/>
        </w:rPr>
        <w:t>Effects of World War II, with a particular emphasis on the changes and continuities brought to the Australian home front and society</w:t>
      </w:r>
      <w:r w:rsidR="00A77092">
        <w:t xml:space="preserve"> </w:t>
      </w:r>
      <w:r w:rsidR="00280CF0">
        <w:t>(</w:t>
      </w:r>
      <w:hyperlink r:id="rId8" w:history="1">
        <w:r w:rsidR="00280CF0" w:rsidRPr="00280CF0">
          <w:rPr>
            <w:rStyle w:val="Hyperlink"/>
          </w:rPr>
          <w:t>VCHHK148</w:t>
        </w:r>
      </w:hyperlink>
      <w:r w:rsidR="00280CF0">
        <w:t>)</w:t>
      </w:r>
    </w:p>
    <w:p w14:paraId="115E2AF4" w14:textId="242CB3D6" w:rsidR="008807A4" w:rsidRPr="00A77092" w:rsidRDefault="00B51FA6" w:rsidP="00A77092">
      <w:pPr>
        <w:pStyle w:val="VCAAbody-withlargetabandhangingindent"/>
      </w:pPr>
      <w:r w:rsidRPr="00255F33">
        <w:rPr>
          <w:b/>
          <w:bCs/>
        </w:rPr>
        <w:t>Existing a</w:t>
      </w:r>
      <w:r w:rsidR="00254888" w:rsidRPr="00255F33">
        <w:rPr>
          <w:b/>
          <w:bCs/>
        </w:rPr>
        <w:t>ctivity</w:t>
      </w:r>
      <w:r w:rsidR="00097F58" w:rsidRPr="00255F33">
        <w:rPr>
          <w:b/>
          <w:bCs/>
        </w:rPr>
        <w:t>:</w:t>
      </w:r>
      <w:r w:rsidR="00254888" w:rsidRPr="00255F33">
        <w:tab/>
      </w:r>
      <w:r w:rsidR="008B6E0B">
        <w:t>Investigating</w:t>
      </w:r>
      <w:r w:rsidR="000C0535" w:rsidRPr="00A77092">
        <w:t xml:space="preserve"> the impact of World War II on work opportunities for women in Australia and the resultant changes and continuities for different groups of women at the time</w:t>
      </w:r>
      <w:r w:rsidR="008B6E0B">
        <w:t>.</w:t>
      </w:r>
    </w:p>
    <w:p w14:paraId="2364A01C" w14:textId="7537301C" w:rsidR="00421DB1" w:rsidRPr="00A77092" w:rsidRDefault="00421DB1" w:rsidP="00A77092">
      <w:pPr>
        <w:pStyle w:val="VCAAbody-withlargetabandhangingindent"/>
      </w:pPr>
      <w:r w:rsidRPr="00A77092">
        <w:rPr>
          <w:b/>
          <w:bCs/>
        </w:rPr>
        <w:t>Summary of adaptation, change, addition:</w:t>
      </w:r>
      <w:r w:rsidRPr="00A77092">
        <w:tab/>
      </w:r>
      <w:r w:rsidR="008B6E0B">
        <w:t>Comparing the opportunities for women during WWII with contemporary opportunities in the defence forces and wider society.</w:t>
      </w:r>
    </w:p>
    <w:p w14:paraId="65DFB73F" w14:textId="25F01925"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673"/>
        <w:gridCol w:w="5216"/>
      </w:tblGrid>
      <w:tr w:rsidR="00254888" w:rsidRPr="008C0A84" w14:paraId="47FFE019" w14:textId="77777777" w:rsidTr="00D93A54">
        <w:trPr>
          <w:cnfStyle w:val="100000000000" w:firstRow="1" w:lastRow="0" w:firstColumn="0" w:lastColumn="0" w:oddVBand="0" w:evenVBand="0" w:oddHBand="0" w:evenHBand="0" w:firstRowFirstColumn="0" w:firstRowLastColumn="0" w:lastRowFirstColumn="0" w:lastRowLastColumn="0"/>
        </w:trPr>
        <w:tc>
          <w:tcPr>
            <w:tcW w:w="4673"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216"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0C0535" w:rsidRPr="008C0A84" w14:paraId="20588B85" w14:textId="77777777" w:rsidTr="00D93A54">
        <w:tc>
          <w:tcPr>
            <w:tcW w:w="4673" w:type="dxa"/>
          </w:tcPr>
          <w:p w14:paraId="46A85701" w14:textId="7033458F" w:rsidR="000C0535" w:rsidRPr="00A77092" w:rsidRDefault="00AD2755" w:rsidP="00AF083D">
            <w:pPr>
              <w:pStyle w:val="VCAAtablecondensed"/>
            </w:pPr>
            <w:r>
              <w:t xml:space="preserve">In small groups, students </w:t>
            </w:r>
            <w:r w:rsidR="00A77092">
              <w:t>examine</w:t>
            </w:r>
            <w:r w:rsidR="000C0535" w:rsidRPr="004C26C0">
              <w:t xml:space="preserve"> a range of written and visual primary sources about work opportunities for women in World War II.</w:t>
            </w:r>
            <w:r w:rsidR="00912CB6">
              <w:t xml:space="preserve"> They</w:t>
            </w:r>
            <w:r w:rsidR="00A77092">
              <w:t xml:space="preserve"> c</w:t>
            </w:r>
            <w:r w:rsidR="000C0535" w:rsidRPr="004C26C0">
              <w:t>lassify these</w:t>
            </w:r>
            <w:r w:rsidR="00A77092">
              <w:t xml:space="preserve"> opportunities</w:t>
            </w:r>
            <w:r w:rsidR="000C0535" w:rsidRPr="004C26C0">
              <w:t xml:space="preserve"> into three categories: Service (women who enlisted </w:t>
            </w:r>
            <w:r w:rsidR="00912CB6">
              <w:t xml:space="preserve">in </w:t>
            </w:r>
            <w:r w:rsidR="000C0535" w:rsidRPr="004C26C0">
              <w:t xml:space="preserve">or volunteered </w:t>
            </w:r>
            <w:r w:rsidR="00912CB6">
              <w:t>for</w:t>
            </w:r>
            <w:r w:rsidR="00912CB6" w:rsidRPr="004C26C0">
              <w:t xml:space="preserve"> </w:t>
            </w:r>
            <w:r w:rsidR="000C0535" w:rsidRPr="004C26C0">
              <w:t xml:space="preserve">the Armed Forces), Industry (women who worked in war-related industries) and Replacement (women who replaced roles vacated by men who enlisted). </w:t>
            </w:r>
            <w:r>
              <w:t>Students can</w:t>
            </w:r>
            <w:r w:rsidR="000C0535" w:rsidRPr="004C26C0">
              <w:t xml:space="preserve"> access the Australian Women in War </w:t>
            </w:r>
            <w:r w:rsidR="00F613C6">
              <w:t>p</w:t>
            </w:r>
            <w:r w:rsidR="00F613C6" w:rsidRPr="004C26C0">
              <w:t xml:space="preserve">roject </w:t>
            </w:r>
            <w:r w:rsidR="00F613C6">
              <w:t xml:space="preserve">(see Additional resources) </w:t>
            </w:r>
            <w:r w:rsidR="000C0535" w:rsidRPr="004C26C0">
              <w:t>and research the experiences of Australian women across all three categorie</w:t>
            </w:r>
            <w:r w:rsidR="00A77092">
              <w:t>s.</w:t>
            </w:r>
          </w:p>
        </w:tc>
        <w:tc>
          <w:tcPr>
            <w:tcW w:w="5216" w:type="dxa"/>
          </w:tcPr>
          <w:p w14:paraId="092660B4" w14:textId="09806293" w:rsidR="000C0535" w:rsidRPr="008C0A84" w:rsidRDefault="00894EEF" w:rsidP="00183F1E">
            <w:pPr>
              <w:pStyle w:val="VCAAtablecondensed"/>
              <w:rPr>
                <w:lang w:val="en-AU"/>
              </w:rPr>
            </w:pPr>
            <w:r>
              <w:t xml:space="preserve">As an extension, students research the </w:t>
            </w:r>
            <w:r w:rsidR="005B63EE">
              <w:t xml:space="preserve">Service </w:t>
            </w:r>
            <w:r>
              <w:t>categor</w:t>
            </w:r>
            <w:r w:rsidR="005B63EE">
              <w:t>y</w:t>
            </w:r>
            <w:r>
              <w:t xml:space="preserve"> within the context of contemporary opportunities for Australian women in the </w:t>
            </w:r>
            <w:proofErr w:type="spellStart"/>
            <w:r>
              <w:t>defence</w:t>
            </w:r>
            <w:proofErr w:type="spellEnd"/>
            <w:r>
              <w:t xml:space="preserve"> forces. They identify what opportunities now exist in the </w:t>
            </w:r>
            <w:proofErr w:type="spellStart"/>
            <w:r>
              <w:t>defence</w:t>
            </w:r>
            <w:proofErr w:type="spellEnd"/>
            <w:r>
              <w:t xml:space="preserve"> forces, and what (if any) career options remain closed</w:t>
            </w:r>
            <w:r w:rsidR="00666FE0">
              <w:t xml:space="preserve"> to women</w:t>
            </w:r>
            <w:r>
              <w:t xml:space="preserve">. </w:t>
            </w:r>
          </w:p>
        </w:tc>
      </w:tr>
      <w:tr w:rsidR="000C0535" w:rsidRPr="008C0A84" w14:paraId="47C09381" w14:textId="77777777" w:rsidTr="00D93A54">
        <w:tc>
          <w:tcPr>
            <w:tcW w:w="4673" w:type="dxa"/>
          </w:tcPr>
          <w:p w14:paraId="4395F5D6" w14:textId="765AFFA6" w:rsidR="000C0535" w:rsidRPr="004C26C0" w:rsidRDefault="00A77092" w:rsidP="00183F1E">
            <w:pPr>
              <w:pStyle w:val="VCAAtablecondensed"/>
            </w:pPr>
            <w:r>
              <w:t>Students use inquiry and</w:t>
            </w:r>
            <w:r w:rsidR="000C0535" w:rsidRPr="004C26C0">
              <w:t xml:space="preserve"> research and investigative skills to identify, compare and contrast the experiences/perspectives of </w:t>
            </w:r>
            <w:r>
              <w:t xml:space="preserve">the </w:t>
            </w:r>
            <w:r w:rsidR="000C0535" w:rsidRPr="004C26C0">
              <w:t xml:space="preserve">different </w:t>
            </w:r>
            <w:r>
              <w:t>categories</w:t>
            </w:r>
            <w:r w:rsidR="000C0535" w:rsidRPr="004C26C0">
              <w:t xml:space="preserve"> of women</w:t>
            </w:r>
            <w:r>
              <w:t xml:space="preserve"> </w:t>
            </w:r>
            <w:r w:rsidR="000C0535" w:rsidRPr="004C26C0">
              <w:t>(location/age/class/ethnicity)</w:t>
            </w:r>
            <w:r>
              <w:t>.</w:t>
            </w:r>
          </w:p>
          <w:p w14:paraId="123E135F" w14:textId="379DA52C" w:rsidR="000C0535" w:rsidRPr="000C0535" w:rsidRDefault="00A77092" w:rsidP="00183F1E">
            <w:pPr>
              <w:pStyle w:val="VCAAtablecondensed"/>
              <w:rPr>
                <w:lang w:val="en-AU"/>
              </w:rPr>
            </w:pPr>
            <w:r>
              <w:t>Students identify</w:t>
            </w:r>
            <w:r w:rsidR="000C0535" w:rsidRPr="004C26C0">
              <w:t xml:space="preserve"> and explain changes and continuities in the work lives of different groups of women </w:t>
            </w:r>
            <w:r>
              <w:t>from these opportunities</w:t>
            </w:r>
            <w:r w:rsidR="00C70335">
              <w:t xml:space="preserve"> during the war and how it changed after the war</w:t>
            </w:r>
            <w:r>
              <w:t>. They</w:t>
            </w:r>
            <w:r w:rsidR="000C0535" w:rsidRPr="004C26C0">
              <w:t xml:space="preserve"> develop an evidence</w:t>
            </w:r>
            <w:r w:rsidR="0038359A">
              <w:t>-</w:t>
            </w:r>
            <w:r w:rsidR="000C0535" w:rsidRPr="004C26C0">
              <w:t xml:space="preserve">based argument evaluating </w:t>
            </w:r>
            <w:r w:rsidR="000C0535" w:rsidRPr="004C26C0">
              <w:lastRenderedPageBreak/>
              <w:t xml:space="preserve">the extent of change and </w:t>
            </w:r>
            <w:r w:rsidR="00C70335">
              <w:t>what stayed the same</w:t>
            </w:r>
            <w:r w:rsidR="000C0535" w:rsidRPr="004C26C0">
              <w:t xml:space="preserve"> for different groups of women</w:t>
            </w:r>
            <w:r>
              <w:t xml:space="preserve"> </w:t>
            </w:r>
            <w:r w:rsidR="00C70335">
              <w:t xml:space="preserve">before, during and </w:t>
            </w:r>
            <w:r>
              <w:t>following World War II.</w:t>
            </w:r>
          </w:p>
        </w:tc>
        <w:tc>
          <w:tcPr>
            <w:tcW w:w="5216" w:type="dxa"/>
          </w:tcPr>
          <w:p w14:paraId="62F1411D" w14:textId="16E49365" w:rsidR="00145FB0" w:rsidRDefault="00145FB0" w:rsidP="00183F1E">
            <w:pPr>
              <w:pStyle w:val="VCAAtablecondensed"/>
            </w:pPr>
            <w:r>
              <w:lastRenderedPageBreak/>
              <w:t xml:space="preserve">Students extend the existing activity to use their inquiry and research skills </w:t>
            </w:r>
            <w:r w:rsidR="00187FAA">
              <w:t xml:space="preserve">to look at how and why the different opportunities for women in the </w:t>
            </w:r>
            <w:proofErr w:type="spellStart"/>
            <w:r w:rsidR="00187FAA">
              <w:t>defence</w:t>
            </w:r>
            <w:proofErr w:type="spellEnd"/>
            <w:r w:rsidR="00187FAA">
              <w:t xml:space="preserve"> forces have come about. They link the opportunities for women following WWII to those available today, identifying key changes and continuities. </w:t>
            </w:r>
          </w:p>
          <w:p w14:paraId="694C0483" w14:textId="35D656D6" w:rsidR="000C0535" w:rsidRDefault="00187FAA" w:rsidP="00183F1E">
            <w:pPr>
              <w:pStyle w:val="VCAAtablecondensed"/>
            </w:pPr>
            <w:r>
              <w:t>Students broaden the scope of their inquiry to</w:t>
            </w:r>
            <w:r w:rsidR="000C0535" w:rsidRPr="004C26C0">
              <w:t xml:space="preserve"> the issue of gender and employment </w:t>
            </w:r>
            <w:r>
              <w:t xml:space="preserve">outside the ADF </w:t>
            </w:r>
            <w:r w:rsidR="000C0535" w:rsidRPr="004C26C0">
              <w:t xml:space="preserve">(connections can be made to the past, present and futures throughout these tasks) and identify key </w:t>
            </w:r>
            <w:r w:rsidR="000C0535" w:rsidRPr="004C26C0">
              <w:lastRenderedPageBreak/>
              <w:t>changes and continuities to issues of gender and work today</w:t>
            </w:r>
            <w:r>
              <w:t>.</w:t>
            </w:r>
            <w:r w:rsidR="000C0535" w:rsidRPr="004C26C0">
              <w:t xml:space="preserve"> </w:t>
            </w:r>
            <w:r>
              <w:t>Students may consider questions such as:</w:t>
            </w:r>
          </w:p>
          <w:p w14:paraId="69575CFC" w14:textId="0EDEAC75" w:rsidR="00187FAA" w:rsidRPr="004C26C0" w:rsidRDefault="00187FAA" w:rsidP="00183F1E">
            <w:pPr>
              <w:pStyle w:val="VCAAtablecondensedbullet"/>
            </w:pPr>
            <w:r w:rsidRPr="004C26C0">
              <w:t>Is the ‘gender divide’ diminishing?</w:t>
            </w:r>
          </w:p>
          <w:p w14:paraId="3FCB2FF1" w14:textId="77777777" w:rsidR="00187FAA" w:rsidRDefault="00187FAA" w:rsidP="00183F1E">
            <w:pPr>
              <w:pStyle w:val="VCAAtablecondensedbullet"/>
            </w:pPr>
            <w:r w:rsidRPr="004C26C0">
              <w:t xml:space="preserve">Should ‘gender equity’ be a focus for change? Why/why not? </w:t>
            </w:r>
          </w:p>
          <w:p w14:paraId="7279DA82" w14:textId="18B5BB3E" w:rsidR="000C0535" w:rsidRPr="00187FAA" w:rsidRDefault="00187FAA" w:rsidP="00183F1E">
            <w:pPr>
              <w:pStyle w:val="VCAAtablecondensedbullet"/>
              <w:rPr>
                <w:rFonts w:eastAsia="Arial"/>
              </w:rPr>
            </w:pPr>
            <w:r w:rsidRPr="004C26C0">
              <w:t>What other equity issues should drive change</w:t>
            </w:r>
            <w:r>
              <w:t>?</w:t>
            </w:r>
          </w:p>
        </w:tc>
      </w:tr>
      <w:tr w:rsidR="000C0535" w:rsidRPr="008C0A84" w14:paraId="63793E0F" w14:textId="77777777" w:rsidTr="00D93A54">
        <w:tc>
          <w:tcPr>
            <w:tcW w:w="4673" w:type="dxa"/>
          </w:tcPr>
          <w:p w14:paraId="7674DB26" w14:textId="34AC2B84" w:rsidR="000C0535" w:rsidRPr="008C0A84" w:rsidRDefault="000C0535" w:rsidP="00183F1E">
            <w:pPr>
              <w:pStyle w:val="VCAAtablecondensed"/>
              <w:rPr>
                <w:lang w:val="en-AU"/>
              </w:rPr>
            </w:pPr>
          </w:p>
        </w:tc>
        <w:tc>
          <w:tcPr>
            <w:tcW w:w="5216" w:type="dxa"/>
          </w:tcPr>
          <w:p w14:paraId="7C083F81" w14:textId="2BD76719" w:rsidR="000C0535" w:rsidRPr="00B74D78" w:rsidRDefault="000C0535" w:rsidP="00666FE0">
            <w:pPr>
              <w:pStyle w:val="VCAAtablecondensed"/>
              <w:rPr>
                <w:color w:val="auto"/>
                <w:lang w:val="en-AU"/>
              </w:rPr>
            </w:pPr>
            <w:r w:rsidRPr="004C26C0">
              <w:t>Students reflec</w:t>
            </w:r>
            <w:r w:rsidR="00187FAA">
              <w:t>t on how the activity has influenced their understanding of opportunities</w:t>
            </w:r>
            <w:r w:rsidR="0038359A">
              <w:t xml:space="preserve"> and potential career paths</w:t>
            </w:r>
            <w:r w:rsidR="00187FAA">
              <w:t xml:space="preserve"> available to them. </w:t>
            </w:r>
            <w:r w:rsidR="00D93A54">
              <w:t xml:space="preserve">Encouraging them to draw comparisons between </w:t>
            </w:r>
            <w:proofErr w:type="spellStart"/>
            <w:r w:rsidR="00D93A54">
              <w:t>defence</w:t>
            </w:r>
            <w:proofErr w:type="spellEnd"/>
            <w:r w:rsidR="00D93A54">
              <w:t xml:space="preserve"> force roles and similar roles in civilian </w:t>
            </w:r>
            <w:r w:rsidR="00666FE0">
              <w:t>employment</w:t>
            </w:r>
            <w:bookmarkStart w:id="1" w:name="_GoBack"/>
            <w:bookmarkEnd w:id="1"/>
            <w:r w:rsidR="00D93A54">
              <w:t xml:space="preserve"> is also relevant.</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517559C0" w14:textId="2C9E7CC1" w:rsidR="000C0535" w:rsidRDefault="00D17895" w:rsidP="00AF083D">
      <w:pPr>
        <w:pStyle w:val="VCAAbullet"/>
      </w:pPr>
      <w:r>
        <w:t>N</w:t>
      </w:r>
      <w:r w:rsidR="000C0535">
        <w:t xml:space="preserve">ot every student will have considered </w:t>
      </w:r>
      <w:r w:rsidR="008B6E0B">
        <w:t xml:space="preserve">a </w:t>
      </w:r>
      <w:r w:rsidR="000C0535">
        <w:t xml:space="preserve">career in the defence forces, nor is this activity intended to be a promotional exercise. The exploration of the changing roles of women in the defence forces can be very successfully used to scaffold reflection on changes in society more broadly, and to track how industries change in response to societal changes. In Australia, this issue has received significant media coverage in recent years, which lends itself to the integration of contemporary media sources into the classroom. Supporting students to critically analyse such information sources will assist them to develop key career-related skills and attributes. </w:t>
      </w:r>
    </w:p>
    <w:p w14:paraId="28EA3D02" w14:textId="360E0390" w:rsidR="000C0535" w:rsidRPr="00D23465" w:rsidRDefault="000C0535" w:rsidP="00AF083D">
      <w:pPr>
        <w:pStyle w:val="VCAAbullet"/>
      </w:pPr>
      <w:r w:rsidRPr="00D23465">
        <w:t>Teacher will need to consider how they</w:t>
      </w:r>
      <w:r>
        <w:t xml:space="preserve"> </w:t>
      </w:r>
      <w:r w:rsidRPr="00D23465">
        <w:t>use the concept of past</w:t>
      </w:r>
      <w:r w:rsidR="00183F1E" w:rsidRPr="00183F1E">
        <w:t>–</w:t>
      </w:r>
      <w:r w:rsidRPr="00D23465">
        <w:t>present</w:t>
      </w:r>
      <w:r w:rsidR="00183F1E" w:rsidRPr="00183F1E">
        <w:t>–</w:t>
      </w:r>
      <w:r w:rsidRPr="00D23465">
        <w:t>future to scaffold and support discussion about gender and the workplace, and its relevance to students as they explore and build their careers</w:t>
      </w:r>
      <w:r w:rsidR="00036198">
        <w:t>.</w:t>
      </w:r>
    </w:p>
    <w:p w14:paraId="3D332B60" w14:textId="52AB6DA0" w:rsidR="000C0535" w:rsidRPr="00AC08C6" w:rsidRDefault="00187FAA" w:rsidP="00AF083D">
      <w:pPr>
        <w:pStyle w:val="VCAAbullet"/>
      </w:pPr>
      <w:r>
        <w:t xml:space="preserve">The activity could be extended as students consider the opportunities available to the </w:t>
      </w:r>
      <w:r w:rsidR="00466D10">
        <w:t xml:space="preserve">various generations of </w:t>
      </w:r>
      <w:r>
        <w:t xml:space="preserve">adults in their lives and identify elements of continuity and change. </w:t>
      </w:r>
    </w:p>
    <w:p w14:paraId="4EA3BCD6" w14:textId="77777777" w:rsidR="00460A75" w:rsidRDefault="00DB533D" w:rsidP="00DB533D">
      <w:pPr>
        <w:pStyle w:val="VCAAHeading4"/>
      </w:pPr>
      <w:r>
        <w:t>Additional resources to help when adapting the learning activity</w:t>
      </w:r>
    </w:p>
    <w:p w14:paraId="0FCF9065" w14:textId="0C2E9E8F" w:rsidR="00AD2755" w:rsidRDefault="00AD2755" w:rsidP="00692D6D">
      <w:pPr>
        <w:pStyle w:val="VCAAbullet"/>
      </w:pPr>
      <w:r>
        <w:t>Australian War Memorial, ‘</w:t>
      </w:r>
      <w:hyperlink r:id="rId9" w:history="1">
        <w:r w:rsidRPr="00AD2755">
          <w:rPr>
            <w:rStyle w:val="Hyperlink"/>
          </w:rPr>
          <w:t>Australian women in war</w:t>
        </w:r>
      </w:hyperlink>
      <w:r>
        <w:t>’</w:t>
      </w:r>
    </w:p>
    <w:p w14:paraId="039A50C9" w14:textId="77777777" w:rsidR="001B3074" w:rsidRPr="002C4529" w:rsidRDefault="001B3074" w:rsidP="001B3074">
      <w:pPr>
        <w:pStyle w:val="VCAAbullet"/>
      </w:pPr>
      <w:r>
        <w:t>Defence Jobs, ‘</w:t>
      </w:r>
      <w:hyperlink r:id="rId10" w:history="1">
        <w:r w:rsidRPr="00187FAA">
          <w:rPr>
            <w:rStyle w:val="Hyperlink"/>
          </w:rPr>
          <w:t>Women in the ADF</w:t>
        </w:r>
      </w:hyperlink>
      <w:r>
        <w:t xml:space="preserve">’ </w:t>
      </w:r>
    </w:p>
    <w:p w14:paraId="6A4929A0" w14:textId="32E28ACF" w:rsidR="000C0535" w:rsidRPr="002C4529" w:rsidRDefault="00187FAA" w:rsidP="00AF083D">
      <w:pPr>
        <w:pStyle w:val="VCAAbullet"/>
      </w:pPr>
      <w:r>
        <w:t>Business News Daily, ‘</w:t>
      </w:r>
      <w:hyperlink r:id="rId11" w:history="1">
        <w:r w:rsidR="000C0535" w:rsidRPr="00187FAA">
          <w:rPr>
            <w:rStyle w:val="Hyperlink"/>
            <w:kern w:val="36"/>
          </w:rPr>
          <w:t xml:space="preserve">Gendered' </w:t>
        </w:r>
        <w:r w:rsidR="001B3074">
          <w:rPr>
            <w:rStyle w:val="Hyperlink"/>
            <w:kern w:val="36"/>
          </w:rPr>
          <w:t>j</w:t>
        </w:r>
        <w:r w:rsidR="001B3074" w:rsidRPr="00187FAA">
          <w:rPr>
            <w:rStyle w:val="Hyperlink"/>
            <w:kern w:val="36"/>
          </w:rPr>
          <w:t xml:space="preserve">obs </w:t>
        </w:r>
        <w:r w:rsidR="001B3074">
          <w:rPr>
            <w:rStyle w:val="Hyperlink"/>
            <w:kern w:val="36"/>
          </w:rPr>
          <w:t>a</w:t>
        </w:r>
        <w:r w:rsidR="001B3074" w:rsidRPr="00187FAA">
          <w:rPr>
            <w:rStyle w:val="Hyperlink"/>
            <w:kern w:val="36"/>
          </w:rPr>
          <w:t xml:space="preserve">re </w:t>
        </w:r>
        <w:r w:rsidR="000C0535" w:rsidRPr="00187FAA">
          <w:rPr>
            <w:rStyle w:val="Hyperlink"/>
            <w:kern w:val="36"/>
          </w:rPr>
          <w:t xml:space="preserve">on the </w:t>
        </w:r>
        <w:r w:rsidR="001B3074">
          <w:rPr>
            <w:rStyle w:val="Hyperlink"/>
            <w:kern w:val="36"/>
          </w:rPr>
          <w:t>d</w:t>
        </w:r>
        <w:r w:rsidR="001B3074" w:rsidRPr="00187FAA">
          <w:rPr>
            <w:rStyle w:val="Hyperlink"/>
            <w:kern w:val="36"/>
          </w:rPr>
          <w:t>ecline</w:t>
        </w:r>
        <w:r w:rsidR="000C0535" w:rsidRPr="00187FAA">
          <w:rPr>
            <w:rStyle w:val="Hyperlink"/>
            <w:kern w:val="36"/>
          </w:rPr>
          <w:t xml:space="preserve">, </w:t>
        </w:r>
        <w:r w:rsidR="001B3074">
          <w:rPr>
            <w:rStyle w:val="Hyperlink"/>
            <w:kern w:val="36"/>
          </w:rPr>
          <w:t>b</w:t>
        </w:r>
        <w:r w:rsidR="001B3074" w:rsidRPr="00187FAA">
          <w:rPr>
            <w:rStyle w:val="Hyperlink"/>
            <w:kern w:val="36"/>
          </w:rPr>
          <w:t xml:space="preserve">ut </w:t>
        </w:r>
        <w:r w:rsidR="001B3074">
          <w:rPr>
            <w:rStyle w:val="Hyperlink"/>
            <w:kern w:val="36"/>
          </w:rPr>
          <w:t>s</w:t>
        </w:r>
        <w:r w:rsidR="001B3074" w:rsidRPr="00187FAA">
          <w:rPr>
            <w:rStyle w:val="Hyperlink"/>
            <w:kern w:val="36"/>
          </w:rPr>
          <w:t xml:space="preserve">tereotypes </w:t>
        </w:r>
        <w:r w:rsidR="001B3074">
          <w:rPr>
            <w:rStyle w:val="Hyperlink"/>
            <w:kern w:val="36"/>
          </w:rPr>
          <w:t>r</w:t>
        </w:r>
        <w:r w:rsidR="000C0535" w:rsidRPr="00187FAA">
          <w:rPr>
            <w:rStyle w:val="Hyperlink"/>
            <w:kern w:val="36"/>
          </w:rPr>
          <w:t>emain</w:t>
        </w:r>
      </w:hyperlink>
    </w:p>
    <w:p w14:paraId="7FE4E782" w14:textId="27430985" w:rsidR="000C0535" w:rsidRPr="00AF083D" w:rsidRDefault="001B3074" w:rsidP="00AF083D">
      <w:pPr>
        <w:pStyle w:val="VCAAbullet"/>
        <w:rPr>
          <w:rStyle w:val="Hyperlink"/>
          <w:color w:val="000000" w:themeColor="text1"/>
          <w:u w:val="none"/>
        </w:rPr>
      </w:pPr>
      <w:r w:rsidRPr="00AF083D">
        <w:t xml:space="preserve">Forbes, </w:t>
      </w:r>
      <w:r>
        <w:t>‘</w:t>
      </w:r>
      <w:hyperlink r:id="rId12" w:anchor="2d0b01e61cc7" w:history="1">
        <w:r w:rsidRPr="00AF083D">
          <w:rPr>
            <w:rStyle w:val="Hyperlink"/>
          </w:rPr>
          <w:t>The Uberization of work: Pros and cons of the gig economy</w:t>
        </w:r>
      </w:hyperlink>
      <w:r>
        <w:t>’</w:t>
      </w:r>
      <w:r w:rsidR="000C0535" w:rsidRPr="00AF083D">
        <w:rPr>
          <w:rStyle w:val="Hyperlink"/>
          <w:color w:val="000000" w:themeColor="text1"/>
          <w:u w:val="none"/>
        </w:rP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6E296615" w:rsidR="00F01253" w:rsidRDefault="006E7B54" w:rsidP="00F01253">
      <w:pPr>
        <w:pStyle w:val="VCAAbody"/>
        <w:rPr>
          <w:lang w:val="en-AU"/>
        </w:rPr>
      </w:pPr>
      <w:r>
        <w:rPr>
          <w:lang w:val="en-AU"/>
        </w:rPr>
        <w:t>Know yourself – s</w:t>
      </w:r>
      <w:r w:rsidRPr="008C0A84">
        <w:rPr>
          <w:lang w:val="en-AU"/>
        </w:rPr>
        <w:t>elf</w:t>
      </w:r>
      <w:r w:rsidR="00F01253" w:rsidRPr="008C0A84">
        <w:rPr>
          <w:lang w:val="en-AU"/>
        </w:rPr>
        <w:t xml:space="preserve">-development: </w:t>
      </w:r>
    </w:p>
    <w:p w14:paraId="1B462845" w14:textId="448E453A" w:rsidR="000C0535" w:rsidRPr="004C26C0" w:rsidRDefault="00183F1E" w:rsidP="00AF083D">
      <w:pPr>
        <w:pStyle w:val="VCAAbullet"/>
      </w:pPr>
      <w:r>
        <w:t>E</w:t>
      </w:r>
      <w:r w:rsidR="000C0535" w:rsidRPr="004C26C0">
        <w:t xml:space="preserve">xploring </w:t>
      </w:r>
      <w:r>
        <w:t>opportunities available to women</w:t>
      </w:r>
      <w:r w:rsidR="000C0535" w:rsidRPr="004C26C0">
        <w:t>, and the ways in which they have shaped, and continue to shape careers, encourages students to critically engage with, and respond to, societal issues of consequence</w:t>
      </w:r>
      <w:r>
        <w:t>.</w:t>
      </w:r>
    </w:p>
    <w:p w14:paraId="66FA02DD" w14:textId="7C887905" w:rsidR="00F01253" w:rsidRPr="008C0A84" w:rsidRDefault="006E7B54" w:rsidP="00F01253">
      <w:pPr>
        <w:pStyle w:val="VCAAbody"/>
        <w:rPr>
          <w:lang w:val="en-AU"/>
        </w:rPr>
      </w:pPr>
      <w:r>
        <w:rPr>
          <w:lang w:val="en-AU"/>
        </w:rPr>
        <w:t>Know your world – c</w:t>
      </w:r>
      <w:r w:rsidR="00F01253" w:rsidRPr="008C0A84">
        <w:rPr>
          <w:lang w:val="en-AU"/>
        </w:rPr>
        <w:t xml:space="preserve">areer exploration: </w:t>
      </w:r>
    </w:p>
    <w:p w14:paraId="12643B19" w14:textId="5B10132A" w:rsidR="000C0535" w:rsidRPr="004C26C0" w:rsidRDefault="000C0535" w:rsidP="00AF083D">
      <w:pPr>
        <w:pStyle w:val="VCAAbullet"/>
      </w:pPr>
      <w:r w:rsidRPr="004C26C0">
        <w:rPr>
          <w:color w:val="000000"/>
        </w:rPr>
        <w:t xml:space="preserve">Students </w:t>
      </w:r>
      <w:r w:rsidR="004D4E2E">
        <w:rPr>
          <w:color w:val="000000"/>
        </w:rPr>
        <w:t xml:space="preserve">learn </w:t>
      </w:r>
      <w:r w:rsidRPr="004C26C0">
        <w:rPr>
          <w:color w:val="000000"/>
        </w:rPr>
        <w:t>about the changing nature</w:t>
      </w:r>
      <w:r w:rsidRPr="004C26C0">
        <w:t xml:space="preserve"> of participation in the workforce as it relates to work and gender</w:t>
      </w:r>
      <w:r w:rsidR="00B72101">
        <w:t>,</w:t>
      </w:r>
      <w:r w:rsidR="00B72101" w:rsidRPr="004C26C0">
        <w:t xml:space="preserve"> </w:t>
      </w:r>
      <w:r w:rsidRPr="004C26C0">
        <w:t xml:space="preserve">and the changes and continuities these brought to Australian society, </w:t>
      </w:r>
      <w:r w:rsidRPr="004C26C0">
        <w:rPr>
          <w:color w:val="000000"/>
        </w:rPr>
        <w:t>thus contributing to their capacity to understand work at a macro or s</w:t>
      </w:r>
      <w:r w:rsidRPr="004C26C0">
        <w:t xml:space="preserve">ocietal </w:t>
      </w:r>
      <w:r w:rsidRPr="004C26C0">
        <w:rPr>
          <w:color w:val="000000"/>
        </w:rPr>
        <w:t>level.</w:t>
      </w:r>
    </w:p>
    <w:p w14:paraId="5E11C16D" w14:textId="1A716F98" w:rsidR="00F01253" w:rsidRPr="008C0A84" w:rsidRDefault="006E7B54" w:rsidP="00F01253">
      <w:pPr>
        <w:pStyle w:val="VCAAbody"/>
        <w:rPr>
          <w:lang w:val="en-AU"/>
        </w:rPr>
      </w:pPr>
      <w:r>
        <w:rPr>
          <w:lang w:val="en-AU"/>
        </w:rPr>
        <w:t>Manage your future – be proactive</w:t>
      </w:r>
      <w:r w:rsidR="00F01253" w:rsidRPr="008C0A84">
        <w:rPr>
          <w:lang w:val="en-AU"/>
        </w:rPr>
        <w:t xml:space="preserve">: </w:t>
      </w:r>
    </w:p>
    <w:p w14:paraId="58B1CBC9" w14:textId="3E04429F" w:rsidR="000C0535" w:rsidRPr="004C26C0" w:rsidRDefault="000C0535" w:rsidP="00AF083D">
      <w:pPr>
        <w:pStyle w:val="VCAAbullet"/>
      </w:pPr>
      <w:r w:rsidRPr="004C26C0">
        <w:t>Building an understanding of how work opportunities change over time encourages students to embrace change and find and use opportunities</w:t>
      </w:r>
      <w:r w:rsidR="00864137">
        <w:t>.</w:t>
      </w:r>
    </w:p>
    <w:p w14:paraId="5DD6FFBA" w14:textId="12BC188A" w:rsidR="00F01253" w:rsidRPr="00D7283B" w:rsidRDefault="000C0535" w:rsidP="00AF083D">
      <w:pPr>
        <w:pStyle w:val="VCAAbullet"/>
      </w:pPr>
      <w:r w:rsidRPr="004C26C0">
        <w:t xml:space="preserve">Consideration of how changing work patterns and issues of gender shape job opportunities encourages students to </w:t>
      </w:r>
      <w:r w:rsidRPr="004C26C0">
        <w:rPr>
          <w:bCs/>
        </w:rPr>
        <w:t xml:space="preserve">make informed decisions </w:t>
      </w:r>
      <w:r w:rsidRPr="004C26C0">
        <w:t>as they explore career possibilities</w:t>
      </w:r>
      <w:r w:rsidR="00864137">
        <w:t>.</w:t>
      </w:r>
    </w:p>
    <w:sectPr w:rsidR="00F01253" w:rsidRPr="00D7283B"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187FAA" w:rsidRDefault="00187FAA" w:rsidP="00304EA1">
      <w:pPr>
        <w:spacing w:after="0" w:line="240" w:lineRule="auto"/>
      </w:pPr>
      <w:r>
        <w:separator/>
      </w:r>
    </w:p>
  </w:endnote>
  <w:endnote w:type="continuationSeparator" w:id="0">
    <w:p w14:paraId="3270DF94" w14:textId="77777777" w:rsidR="00187FAA" w:rsidRDefault="00187FA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187FAA" w:rsidRPr="00D06414" w14:paraId="6474FD3B" w14:textId="77777777" w:rsidTr="00BB3BAB">
      <w:trPr>
        <w:trHeight w:val="476"/>
      </w:trPr>
      <w:tc>
        <w:tcPr>
          <w:tcW w:w="1667" w:type="pct"/>
          <w:tcMar>
            <w:left w:w="0" w:type="dxa"/>
            <w:right w:w="0" w:type="dxa"/>
          </w:tcMar>
        </w:tcPr>
        <w:p w14:paraId="0EC15F2D" w14:textId="77777777" w:rsidR="00187FAA" w:rsidRPr="00D06414" w:rsidRDefault="00187FA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87FAA" w:rsidRPr="00D06414" w:rsidRDefault="00187FA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A63D346" w:rsidR="00187FAA" w:rsidRPr="00D06414" w:rsidRDefault="00187FA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66FE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187FAA" w:rsidRPr="00D06414" w:rsidRDefault="00187FA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187FAA" w:rsidRPr="00D06414" w14:paraId="36A4ADC1" w14:textId="77777777" w:rsidTr="000F5AAF">
      <w:tc>
        <w:tcPr>
          <w:tcW w:w="1459" w:type="pct"/>
          <w:tcMar>
            <w:left w:w="0" w:type="dxa"/>
            <w:right w:w="0" w:type="dxa"/>
          </w:tcMar>
        </w:tcPr>
        <w:p w14:paraId="74DB1FC2" w14:textId="77777777" w:rsidR="00187FAA" w:rsidRPr="00D06414" w:rsidRDefault="00187FA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87FAA" w:rsidRPr="00D06414" w:rsidRDefault="00187FA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87FAA" w:rsidRPr="00D06414" w:rsidRDefault="00187FA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87FAA" w:rsidRPr="00D06414" w:rsidRDefault="00187FA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187FAA" w:rsidRDefault="00187FAA" w:rsidP="00304EA1">
      <w:pPr>
        <w:spacing w:after="0" w:line="240" w:lineRule="auto"/>
      </w:pPr>
      <w:r>
        <w:separator/>
      </w:r>
    </w:p>
  </w:footnote>
  <w:footnote w:type="continuationSeparator" w:id="0">
    <w:p w14:paraId="13540A36" w14:textId="77777777" w:rsidR="00187FAA" w:rsidRDefault="00187FA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737BB77" w:rsidR="00187FAA" w:rsidRPr="0038622E" w:rsidRDefault="00187FAA" w:rsidP="0038622E">
    <w:pPr>
      <w:pStyle w:val="VCAAbody"/>
      <w:rPr>
        <w:color w:val="0F7EB4"/>
      </w:rPr>
    </w:pPr>
    <w:r>
      <w:t xml:space="preserve">Embedding career education in the Victorian Curriculum F–10 – </w:t>
    </w:r>
    <w:r w:rsidR="00183F1E">
      <w:t>History, Levels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187FAA" w:rsidRPr="009370BC" w:rsidRDefault="00187FA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E5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C0E5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A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7A8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EE0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84D0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449C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C691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B42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ACB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B1220"/>
    <w:multiLevelType w:val="hybridMultilevel"/>
    <w:tmpl w:val="21E6D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D23A4"/>
    <w:multiLevelType w:val="hybridMultilevel"/>
    <w:tmpl w:val="1CB4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055E07"/>
    <w:multiLevelType w:val="hybridMultilevel"/>
    <w:tmpl w:val="08C01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02E77ED"/>
    <w:multiLevelType w:val="multilevel"/>
    <w:tmpl w:val="160C1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C837E8"/>
    <w:multiLevelType w:val="hybridMultilevel"/>
    <w:tmpl w:val="0CDE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330181"/>
    <w:multiLevelType w:val="hybridMultilevel"/>
    <w:tmpl w:val="ACDC1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F370E2C"/>
    <w:multiLevelType w:val="hybridMultilevel"/>
    <w:tmpl w:val="DA9C3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EA5E47"/>
    <w:multiLevelType w:val="hybridMultilevel"/>
    <w:tmpl w:val="F61675A8"/>
    <w:lvl w:ilvl="0" w:tplc="2E2463E4">
      <w:start w:val="1"/>
      <w:numFmt w:val="bullet"/>
      <w:pStyle w:val="VCAAbullet"/>
      <w:lvlText w:val=""/>
      <w:lvlJc w:val="left"/>
      <w:pPr>
        <w:ind w:left="1145" w:hanging="360"/>
      </w:pPr>
      <w:rPr>
        <w:rFonts w:ascii="Symbol" w:hAnsi="Symbol" w:hint="default"/>
        <w:color w:val="000000" w:themeColor="text1"/>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9" w15:restartNumberingAfterBreak="0">
    <w:nsid w:val="62872B6C"/>
    <w:multiLevelType w:val="hybridMultilevel"/>
    <w:tmpl w:val="8AA681E6"/>
    <w:lvl w:ilvl="0" w:tplc="C748CC9A">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2DE2237"/>
    <w:multiLevelType w:val="multilevel"/>
    <w:tmpl w:val="BFEC5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0A70C4"/>
    <w:multiLevelType w:val="hybridMultilevel"/>
    <w:tmpl w:val="B24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8"/>
  </w:num>
  <w:num w:numId="4">
    <w:abstractNumId w:val="12"/>
  </w:num>
  <w:num w:numId="5">
    <w:abstractNumId w:val="26"/>
  </w:num>
  <w:num w:numId="6">
    <w:abstractNumId w:val="16"/>
  </w:num>
  <w:num w:numId="7">
    <w:abstractNumId w:val="14"/>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5"/>
  </w:num>
  <w:num w:numId="21">
    <w:abstractNumId w:val="23"/>
  </w:num>
  <w:num w:numId="22">
    <w:abstractNumId w:val="11"/>
  </w:num>
  <w:num w:numId="23">
    <w:abstractNumId w:val="31"/>
  </w:num>
  <w:num w:numId="24">
    <w:abstractNumId w:val="27"/>
  </w:num>
  <w:num w:numId="25">
    <w:abstractNumId w:val="21"/>
  </w:num>
  <w:num w:numId="26">
    <w:abstractNumId w:val="10"/>
  </w:num>
  <w:num w:numId="27">
    <w:abstractNumId w:val="19"/>
  </w:num>
  <w:num w:numId="28">
    <w:abstractNumId w:val="13"/>
  </w:num>
  <w:num w:numId="29">
    <w:abstractNumId w:val="24"/>
  </w:num>
  <w:num w:numId="30">
    <w:abstractNumId w:val="17"/>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518F"/>
    <w:rsid w:val="0001050A"/>
    <w:rsid w:val="00033048"/>
    <w:rsid w:val="00036198"/>
    <w:rsid w:val="0005780E"/>
    <w:rsid w:val="00065CC6"/>
    <w:rsid w:val="00072AF1"/>
    <w:rsid w:val="00086CFC"/>
    <w:rsid w:val="00097F58"/>
    <w:rsid w:val="000A71F7"/>
    <w:rsid w:val="000B152F"/>
    <w:rsid w:val="000B4127"/>
    <w:rsid w:val="000C0535"/>
    <w:rsid w:val="000D630E"/>
    <w:rsid w:val="000D6B6E"/>
    <w:rsid w:val="000E186C"/>
    <w:rsid w:val="000F09E4"/>
    <w:rsid w:val="000F16FD"/>
    <w:rsid w:val="000F5AAF"/>
    <w:rsid w:val="000F6CF9"/>
    <w:rsid w:val="00101E3A"/>
    <w:rsid w:val="001178ED"/>
    <w:rsid w:val="0012374D"/>
    <w:rsid w:val="001344E1"/>
    <w:rsid w:val="00143520"/>
    <w:rsid w:val="00145FB0"/>
    <w:rsid w:val="0014689E"/>
    <w:rsid w:val="00153AD2"/>
    <w:rsid w:val="001554A9"/>
    <w:rsid w:val="00157F32"/>
    <w:rsid w:val="00170828"/>
    <w:rsid w:val="001779EA"/>
    <w:rsid w:val="00183F1E"/>
    <w:rsid w:val="00187FAA"/>
    <w:rsid w:val="001926FE"/>
    <w:rsid w:val="001A39A9"/>
    <w:rsid w:val="001B3074"/>
    <w:rsid w:val="001D3246"/>
    <w:rsid w:val="001E3EA0"/>
    <w:rsid w:val="001F5D88"/>
    <w:rsid w:val="002122F7"/>
    <w:rsid w:val="002279BA"/>
    <w:rsid w:val="002329F3"/>
    <w:rsid w:val="00243F0D"/>
    <w:rsid w:val="00254888"/>
    <w:rsid w:val="00255852"/>
    <w:rsid w:val="00255F33"/>
    <w:rsid w:val="00260767"/>
    <w:rsid w:val="002628FE"/>
    <w:rsid w:val="002647BB"/>
    <w:rsid w:val="002754C1"/>
    <w:rsid w:val="00277722"/>
    <w:rsid w:val="00280CF0"/>
    <w:rsid w:val="002841C8"/>
    <w:rsid w:val="0028516B"/>
    <w:rsid w:val="002938E4"/>
    <w:rsid w:val="002B103A"/>
    <w:rsid w:val="002C6F90"/>
    <w:rsid w:val="002E4FB5"/>
    <w:rsid w:val="00302FB8"/>
    <w:rsid w:val="00304EA1"/>
    <w:rsid w:val="0031339C"/>
    <w:rsid w:val="00314D81"/>
    <w:rsid w:val="00322FC6"/>
    <w:rsid w:val="00347B87"/>
    <w:rsid w:val="0035293F"/>
    <w:rsid w:val="00370380"/>
    <w:rsid w:val="0038359A"/>
    <w:rsid w:val="003837D1"/>
    <w:rsid w:val="0038622E"/>
    <w:rsid w:val="00391986"/>
    <w:rsid w:val="00392864"/>
    <w:rsid w:val="003A00B4"/>
    <w:rsid w:val="003C394F"/>
    <w:rsid w:val="003C5E71"/>
    <w:rsid w:val="00402EAD"/>
    <w:rsid w:val="00407E82"/>
    <w:rsid w:val="00411D26"/>
    <w:rsid w:val="00412665"/>
    <w:rsid w:val="00417AA3"/>
    <w:rsid w:val="00421DB1"/>
    <w:rsid w:val="00425DFE"/>
    <w:rsid w:val="00425FD1"/>
    <w:rsid w:val="00434EDB"/>
    <w:rsid w:val="004377A7"/>
    <w:rsid w:val="00440B32"/>
    <w:rsid w:val="0045461F"/>
    <w:rsid w:val="00456DAB"/>
    <w:rsid w:val="00457521"/>
    <w:rsid w:val="0046078D"/>
    <w:rsid w:val="00460A75"/>
    <w:rsid w:val="00466D10"/>
    <w:rsid w:val="00474B1A"/>
    <w:rsid w:val="00495C80"/>
    <w:rsid w:val="004A2ED8"/>
    <w:rsid w:val="004B14B3"/>
    <w:rsid w:val="004C4C0E"/>
    <w:rsid w:val="004D4E2E"/>
    <w:rsid w:val="004D70CD"/>
    <w:rsid w:val="004F5BDA"/>
    <w:rsid w:val="004F6DE0"/>
    <w:rsid w:val="005055CC"/>
    <w:rsid w:val="0051631E"/>
    <w:rsid w:val="0052155D"/>
    <w:rsid w:val="00537A1F"/>
    <w:rsid w:val="005441CF"/>
    <w:rsid w:val="00554430"/>
    <w:rsid w:val="00562DB0"/>
    <w:rsid w:val="00563E1D"/>
    <w:rsid w:val="00566029"/>
    <w:rsid w:val="00567FD3"/>
    <w:rsid w:val="00580739"/>
    <w:rsid w:val="00590DE1"/>
    <w:rsid w:val="005923CB"/>
    <w:rsid w:val="005B391B"/>
    <w:rsid w:val="005B63EE"/>
    <w:rsid w:val="005C2310"/>
    <w:rsid w:val="005D3D78"/>
    <w:rsid w:val="005D7236"/>
    <w:rsid w:val="005E2EF0"/>
    <w:rsid w:val="005F37D3"/>
    <w:rsid w:val="005F4092"/>
    <w:rsid w:val="00610518"/>
    <w:rsid w:val="00655859"/>
    <w:rsid w:val="00666FE0"/>
    <w:rsid w:val="0067721D"/>
    <w:rsid w:val="00677DFD"/>
    <w:rsid w:val="0068471E"/>
    <w:rsid w:val="00684F98"/>
    <w:rsid w:val="006926C3"/>
    <w:rsid w:val="00692D6D"/>
    <w:rsid w:val="00693FFD"/>
    <w:rsid w:val="006B1610"/>
    <w:rsid w:val="006D2159"/>
    <w:rsid w:val="006E7B54"/>
    <w:rsid w:val="006F787C"/>
    <w:rsid w:val="00702636"/>
    <w:rsid w:val="00724507"/>
    <w:rsid w:val="007623B9"/>
    <w:rsid w:val="00765FA7"/>
    <w:rsid w:val="00773E6C"/>
    <w:rsid w:val="00781FB1"/>
    <w:rsid w:val="00790B90"/>
    <w:rsid w:val="00790E97"/>
    <w:rsid w:val="007A0E4B"/>
    <w:rsid w:val="007D1B6D"/>
    <w:rsid w:val="007E43E7"/>
    <w:rsid w:val="007E7D1F"/>
    <w:rsid w:val="00813C37"/>
    <w:rsid w:val="008154B5"/>
    <w:rsid w:val="00823962"/>
    <w:rsid w:val="00831EDD"/>
    <w:rsid w:val="00836C64"/>
    <w:rsid w:val="00852719"/>
    <w:rsid w:val="00860115"/>
    <w:rsid w:val="00864137"/>
    <w:rsid w:val="00864C15"/>
    <w:rsid w:val="008807A4"/>
    <w:rsid w:val="0088783C"/>
    <w:rsid w:val="00894EEF"/>
    <w:rsid w:val="008B1278"/>
    <w:rsid w:val="008B6E0B"/>
    <w:rsid w:val="008C0A84"/>
    <w:rsid w:val="008D0ABF"/>
    <w:rsid w:val="008D57CA"/>
    <w:rsid w:val="00904A2F"/>
    <w:rsid w:val="00905484"/>
    <w:rsid w:val="00912CB6"/>
    <w:rsid w:val="009370BC"/>
    <w:rsid w:val="009577BB"/>
    <w:rsid w:val="00970580"/>
    <w:rsid w:val="0098739B"/>
    <w:rsid w:val="009B61E5"/>
    <w:rsid w:val="009D1E89"/>
    <w:rsid w:val="009E5707"/>
    <w:rsid w:val="009E5AD2"/>
    <w:rsid w:val="009F7255"/>
    <w:rsid w:val="00A00E53"/>
    <w:rsid w:val="00A13223"/>
    <w:rsid w:val="00A17661"/>
    <w:rsid w:val="00A24B2D"/>
    <w:rsid w:val="00A27DCD"/>
    <w:rsid w:val="00A40966"/>
    <w:rsid w:val="00A50E81"/>
    <w:rsid w:val="00A77092"/>
    <w:rsid w:val="00A921E0"/>
    <w:rsid w:val="00A922F4"/>
    <w:rsid w:val="00AC2450"/>
    <w:rsid w:val="00AD2755"/>
    <w:rsid w:val="00AD307F"/>
    <w:rsid w:val="00AD59D5"/>
    <w:rsid w:val="00AD5A8F"/>
    <w:rsid w:val="00AE5526"/>
    <w:rsid w:val="00AF051B"/>
    <w:rsid w:val="00AF083D"/>
    <w:rsid w:val="00AF151F"/>
    <w:rsid w:val="00B01578"/>
    <w:rsid w:val="00B0738F"/>
    <w:rsid w:val="00B13D3B"/>
    <w:rsid w:val="00B230DB"/>
    <w:rsid w:val="00B26601"/>
    <w:rsid w:val="00B30E01"/>
    <w:rsid w:val="00B41951"/>
    <w:rsid w:val="00B51FA6"/>
    <w:rsid w:val="00B53229"/>
    <w:rsid w:val="00B62480"/>
    <w:rsid w:val="00B72101"/>
    <w:rsid w:val="00B74D78"/>
    <w:rsid w:val="00B81B70"/>
    <w:rsid w:val="00BA48DF"/>
    <w:rsid w:val="00BB3BAB"/>
    <w:rsid w:val="00BB64CF"/>
    <w:rsid w:val="00BB6D02"/>
    <w:rsid w:val="00BD0724"/>
    <w:rsid w:val="00BD2B91"/>
    <w:rsid w:val="00BE04D9"/>
    <w:rsid w:val="00BE5521"/>
    <w:rsid w:val="00BF6C23"/>
    <w:rsid w:val="00C16A39"/>
    <w:rsid w:val="00C2005D"/>
    <w:rsid w:val="00C20ECF"/>
    <w:rsid w:val="00C2356C"/>
    <w:rsid w:val="00C25C2E"/>
    <w:rsid w:val="00C304EC"/>
    <w:rsid w:val="00C34CC9"/>
    <w:rsid w:val="00C46808"/>
    <w:rsid w:val="00C53263"/>
    <w:rsid w:val="00C6415E"/>
    <w:rsid w:val="00C70335"/>
    <w:rsid w:val="00C75F1D"/>
    <w:rsid w:val="00C95156"/>
    <w:rsid w:val="00CA0DC2"/>
    <w:rsid w:val="00CA35BE"/>
    <w:rsid w:val="00CB68E8"/>
    <w:rsid w:val="00CE1543"/>
    <w:rsid w:val="00D04F01"/>
    <w:rsid w:val="00D06414"/>
    <w:rsid w:val="00D17895"/>
    <w:rsid w:val="00D24E5A"/>
    <w:rsid w:val="00D338E4"/>
    <w:rsid w:val="00D35D07"/>
    <w:rsid w:val="00D36FA7"/>
    <w:rsid w:val="00D4304F"/>
    <w:rsid w:val="00D50CA2"/>
    <w:rsid w:val="00D51947"/>
    <w:rsid w:val="00D52DB5"/>
    <w:rsid w:val="00D532F0"/>
    <w:rsid w:val="00D7283B"/>
    <w:rsid w:val="00D77413"/>
    <w:rsid w:val="00D82759"/>
    <w:rsid w:val="00D86DE4"/>
    <w:rsid w:val="00D93A54"/>
    <w:rsid w:val="00D97047"/>
    <w:rsid w:val="00DB533D"/>
    <w:rsid w:val="00DC1864"/>
    <w:rsid w:val="00DC2FFC"/>
    <w:rsid w:val="00DE1909"/>
    <w:rsid w:val="00DE51DB"/>
    <w:rsid w:val="00DE5571"/>
    <w:rsid w:val="00DE683F"/>
    <w:rsid w:val="00DF78E8"/>
    <w:rsid w:val="00E23F1D"/>
    <w:rsid w:val="00E30E05"/>
    <w:rsid w:val="00E36361"/>
    <w:rsid w:val="00E55AE9"/>
    <w:rsid w:val="00E56D1D"/>
    <w:rsid w:val="00E9592C"/>
    <w:rsid w:val="00EA2830"/>
    <w:rsid w:val="00EB0C84"/>
    <w:rsid w:val="00EE3208"/>
    <w:rsid w:val="00EF1E25"/>
    <w:rsid w:val="00F01253"/>
    <w:rsid w:val="00F17FDE"/>
    <w:rsid w:val="00F40D53"/>
    <w:rsid w:val="00F4525C"/>
    <w:rsid w:val="00F50D86"/>
    <w:rsid w:val="00F613C6"/>
    <w:rsid w:val="00F6610F"/>
    <w:rsid w:val="00F979BD"/>
    <w:rsid w:val="00FA5ED9"/>
    <w:rsid w:val="00FB23F1"/>
    <w:rsid w:val="00FB2F3F"/>
    <w:rsid w:val="00FD29D3"/>
    <w:rsid w:val="00FE2873"/>
    <w:rsid w:val="00FE3F0B"/>
    <w:rsid w:val="00FE6853"/>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B3074"/>
    <w:pPr>
      <w:numPr>
        <w:numId w:val="32"/>
      </w:numPr>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66D10"/>
    <w:pPr>
      <w:numPr>
        <w:numId w:val="4"/>
      </w:numPr>
      <w:tabs>
        <w:tab w:val="left" w:pos="425"/>
      </w:tabs>
      <w:overflowPunct w:val="0"/>
      <w:autoSpaceDE w:val="0"/>
      <w:autoSpaceDN w:val="0"/>
      <w:adjustRightInd w:val="0"/>
      <w:spacing w:before="80" w:after="8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8807A4"/>
    <w:rPr>
      <w:color w:val="8DB3E2" w:themeColor="followedHyperlink"/>
      <w:u w:val="single"/>
    </w:rPr>
  </w:style>
  <w:style w:type="character" w:customStyle="1" w:styleId="UnresolvedMention1">
    <w:name w:val="Unresolved Mention1"/>
    <w:basedOn w:val="DefaultParagraphFont"/>
    <w:uiPriority w:val="99"/>
    <w:semiHidden/>
    <w:unhideWhenUsed/>
    <w:rsid w:val="00101E3A"/>
    <w:rPr>
      <w:color w:val="605E5C"/>
      <w:shd w:val="clear" w:color="auto" w:fill="E1DFDD"/>
    </w:rPr>
  </w:style>
  <w:style w:type="character" w:customStyle="1" w:styleId="UnresolvedMention2">
    <w:name w:val="Unresolved Mention2"/>
    <w:basedOn w:val="DefaultParagraphFont"/>
    <w:uiPriority w:val="99"/>
    <w:semiHidden/>
    <w:unhideWhenUsed/>
    <w:rsid w:val="00BB6D02"/>
    <w:rPr>
      <w:color w:val="605E5C"/>
      <w:shd w:val="clear" w:color="auto" w:fill="E1DFDD"/>
    </w:rPr>
  </w:style>
  <w:style w:type="character" w:customStyle="1" w:styleId="UnresolvedMention">
    <w:name w:val="Unresolved Mention"/>
    <w:basedOn w:val="DefaultParagraphFont"/>
    <w:uiPriority w:val="99"/>
    <w:semiHidden/>
    <w:unhideWhenUsed/>
    <w:rsid w:val="00FB2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HHK14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forbes.com/sites/charlestowersclark/2019/07/08/the-uberization-of-work-pros-and-cons-of-the-gig-econo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newsdaily.com/10085-male-female-dominated-job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efencejobs.gov.au/about-the-adf/women-in-the-a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awm.gov.au/collection/LIB10000368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74E079E-F666-41C4-AB9D-32A61B9ED24A}">
  <ds:schemaRefs>
    <ds:schemaRef ds:uri="http://schemas.openxmlformats.org/officeDocument/2006/bibliography"/>
  </ds:schemaRefs>
</ds:datastoreItem>
</file>

<file path=customXml/itemProps2.xml><?xml version="1.0" encoding="utf-8"?>
<ds:datastoreItem xmlns:ds="http://schemas.openxmlformats.org/officeDocument/2006/customXml" ds:itemID="{CDA88363-DF7F-4A7F-AC3B-01DEF69E1D1D}"/>
</file>

<file path=customXml/itemProps3.xml><?xml version="1.0" encoding="utf-8"?>
<ds:datastoreItem xmlns:ds="http://schemas.openxmlformats.org/officeDocument/2006/customXml" ds:itemID="{FF0EF3CE-4C71-4813-A46A-044BDD620EAC}"/>
</file>

<file path=customXml/itemProps4.xml><?xml version="1.0" encoding="utf-8"?>
<ds:datastoreItem xmlns:ds="http://schemas.openxmlformats.org/officeDocument/2006/customXml" ds:itemID="{015657BA-6E89-414D-9CD8-474B55F50D73}"/>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Education;History;Levels 9 and 10</cp:keywords>
  <cp:lastModifiedBy/>
  <cp:revision>1</cp:revision>
  <dcterms:created xsi:type="dcterms:W3CDTF">2020-09-28T05:44:00Z</dcterms:created>
  <dcterms:modified xsi:type="dcterms:W3CDTF">2020-09-30T11:42:00Z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