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0F056F91" w:rsidR="00086CFC" w:rsidRDefault="00C2005D" w:rsidP="00320052">
      <w:pPr>
        <w:pStyle w:val="VCAAHeading1"/>
      </w:pPr>
      <w:r>
        <w:t>E</w:t>
      </w:r>
      <w:r w:rsidR="00E56D1D">
        <w:t>m</w:t>
      </w:r>
      <w:r w:rsidR="007E7D1F">
        <w:t xml:space="preserve">bedding career </w:t>
      </w:r>
      <w:r w:rsidR="007E7D1F" w:rsidRPr="00CE3777">
        <w:t>education</w:t>
      </w:r>
      <w:r w:rsidR="007E7D1F">
        <w:t xml:space="preserve"> in </w:t>
      </w:r>
      <w:r w:rsidR="00E56D1D">
        <w:t>the Victorian Curriculum F–10</w:t>
      </w:r>
      <w:r w:rsidR="00086CFC">
        <w:t xml:space="preserve"> </w:t>
      </w:r>
    </w:p>
    <w:p w14:paraId="309AA2D5" w14:textId="7D9BB414" w:rsidR="004F6DE0" w:rsidRPr="008C0A84" w:rsidRDefault="00F83F8C" w:rsidP="004F6DE0">
      <w:pPr>
        <w:pStyle w:val="VCAAHeading2"/>
        <w:rPr>
          <w:lang w:val="en-AU"/>
        </w:rPr>
      </w:pPr>
      <w:bookmarkStart w:id="0" w:name="TemplateOverview"/>
      <w:bookmarkEnd w:id="0"/>
      <w:r>
        <w:rPr>
          <w:lang w:val="en-AU"/>
        </w:rPr>
        <w:t>Intercultural Capability</w:t>
      </w:r>
      <w:r w:rsidR="006F58F8">
        <w:rPr>
          <w:lang w:val="en-AU"/>
        </w:rPr>
        <w:t>, Levels 9</w:t>
      </w:r>
      <w:r w:rsidR="004F6DE0" w:rsidRPr="008C0A84">
        <w:rPr>
          <w:lang w:val="en-AU"/>
        </w:rPr>
        <w:t xml:space="preserve"> and </w:t>
      </w:r>
      <w:r w:rsidR="006F58F8">
        <w:rPr>
          <w:lang w:val="en-AU"/>
        </w:rPr>
        <w:t>10</w:t>
      </w:r>
    </w:p>
    <w:p w14:paraId="2E354ED1" w14:textId="6C39A607"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604765A2" w:rsidR="008B1278" w:rsidRPr="008C0A84" w:rsidRDefault="008B1278" w:rsidP="00320052">
      <w:pPr>
        <w:pStyle w:val="VCAAbody-withlargetabandhangingindent"/>
      </w:pPr>
      <w:r w:rsidRPr="008C0A84">
        <w:rPr>
          <w:b/>
        </w:rPr>
        <w:t>Curriculum area and levels:</w:t>
      </w:r>
      <w:r w:rsidRPr="008C0A84">
        <w:tab/>
      </w:r>
      <w:r w:rsidR="006F58F8" w:rsidRPr="00296672">
        <w:t>Intercultural</w:t>
      </w:r>
      <w:r w:rsidR="006F58F8">
        <w:t xml:space="preserve"> Capabilit</w:t>
      </w:r>
      <w:r w:rsidR="00F83F8C">
        <w:t>y</w:t>
      </w:r>
      <w:r w:rsidRPr="008C0A84">
        <w:t xml:space="preserve">, Levels </w:t>
      </w:r>
      <w:r w:rsidR="006F58F8">
        <w:t>9</w:t>
      </w:r>
      <w:r w:rsidRPr="008C0A84">
        <w:t xml:space="preserve"> and </w:t>
      </w:r>
      <w:r w:rsidR="006F58F8">
        <w:t>10</w:t>
      </w:r>
    </w:p>
    <w:p w14:paraId="1FB5B60B" w14:textId="7AA359C5" w:rsidR="008B1278" w:rsidRPr="008C0A84" w:rsidRDefault="00254888" w:rsidP="008B1278">
      <w:pPr>
        <w:pStyle w:val="VCAAbody-withlargetabandhangingindent"/>
        <w:rPr>
          <w:rStyle w:val="Hyperlink"/>
          <w:color w:val="000000" w:themeColor="text1"/>
          <w:u w:val="none"/>
        </w:rPr>
      </w:pPr>
      <w:r w:rsidRPr="008C0A84">
        <w:rPr>
          <w:b/>
        </w:rPr>
        <w:t>Relevant c</w:t>
      </w:r>
      <w:r w:rsidR="008B1278" w:rsidRPr="008C0A84">
        <w:rPr>
          <w:b/>
        </w:rPr>
        <w:t>ontent description:</w:t>
      </w:r>
      <w:r w:rsidR="006F58F8">
        <w:tab/>
      </w:r>
      <w:r w:rsidR="001E4822" w:rsidRPr="001E4822">
        <w:t>Analyse the complex and dynamic interrelationships between and within cultures in a range of contexts and the impact of these interrelationships on their own and others cultural practices (</w:t>
      </w:r>
      <w:hyperlink r:id="rId11" w:history="1">
        <w:r w:rsidR="001E4822" w:rsidRPr="003F07D1">
          <w:rPr>
            <w:rStyle w:val="Hyperlink"/>
          </w:rPr>
          <w:t>VCICCB017</w:t>
        </w:r>
      </w:hyperlink>
      <w:r w:rsidR="001E4822" w:rsidRPr="001E4822">
        <w:t>)</w:t>
      </w:r>
    </w:p>
    <w:p w14:paraId="36A2C730" w14:textId="379B8B5D"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021FF5">
        <w:t>Considering</w:t>
      </w:r>
      <w:r w:rsidR="001E4822">
        <w:t xml:space="preserve"> local</w:t>
      </w:r>
      <w:r w:rsidR="00CC1450">
        <w:t xml:space="preserve"> (such as school, regional,</w:t>
      </w:r>
      <w:r w:rsidR="00121FF7">
        <w:t xml:space="preserve"> sporting or musical subcultures,</w:t>
      </w:r>
      <w:r w:rsidR="00CC1450">
        <w:t xml:space="preserve"> etc</w:t>
      </w:r>
      <w:r w:rsidR="00296672">
        <w:t>.</w:t>
      </w:r>
      <w:r w:rsidR="00CC1450">
        <w:t>)</w:t>
      </w:r>
      <w:r w:rsidR="001E4822">
        <w:t xml:space="preserve"> and national</w:t>
      </w:r>
      <w:r w:rsidR="00CC1450">
        <w:t xml:space="preserve"> assumptions about</w:t>
      </w:r>
      <w:r w:rsidR="001E4822">
        <w:t xml:space="preserve"> cultural </w:t>
      </w:r>
      <w:r w:rsidR="00CC1450">
        <w:t>identity</w:t>
      </w:r>
      <w:r w:rsidR="00296672">
        <w:t xml:space="preserve"> and the impacts of interrelated cultures</w:t>
      </w:r>
      <w:r w:rsidR="00D16102">
        <w:t>.</w:t>
      </w:r>
      <w:r w:rsidR="00296672">
        <w:t xml:space="preserve"> </w:t>
      </w:r>
    </w:p>
    <w:p w14:paraId="2364A01C" w14:textId="7729DE71" w:rsidR="00421DB1" w:rsidRPr="008C0A84" w:rsidRDefault="00421DB1" w:rsidP="00296672">
      <w:pPr>
        <w:pStyle w:val="VCAAbody-withlargetabandhangingindent"/>
      </w:pPr>
      <w:r w:rsidRPr="00320052">
        <w:rPr>
          <w:b/>
          <w:bCs/>
        </w:rPr>
        <w:t>Summary of adaptation, change, addition:</w:t>
      </w:r>
      <w:r>
        <w:tab/>
      </w:r>
      <w:r w:rsidR="00CE3777">
        <w:t>Considering the interrelationships of different cultures within workplace settings.</w:t>
      </w:r>
    </w:p>
    <w:p w14:paraId="65DFB73F" w14:textId="1C47866B" w:rsidR="00254888" w:rsidRDefault="00254888" w:rsidP="00320052">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5098"/>
        <w:gridCol w:w="4791"/>
      </w:tblGrid>
      <w:tr w:rsidR="00254888" w:rsidRPr="008C0A84" w14:paraId="47FFE019" w14:textId="77777777" w:rsidTr="005D48DA">
        <w:trPr>
          <w:cnfStyle w:val="100000000000" w:firstRow="1" w:lastRow="0" w:firstColumn="0" w:lastColumn="0" w:oddVBand="0" w:evenVBand="0" w:oddHBand="0" w:evenHBand="0" w:firstRowFirstColumn="0" w:firstRowLastColumn="0" w:lastRowFirstColumn="0" w:lastRowLastColumn="0"/>
        </w:trPr>
        <w:tc>
          <w:tcPr>
            <w:tcW w:w="5098"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4791"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5D48DA">
        <w:tc>
          <w:tcPr>
            <w:tcW w:w="5098" w:type="dxa"/>
          </w:tcPr>
          <w:p w14:paraId="46A85701" w14:textId="31205B03" w:rsidR="00254888" w:rsidRPr="00320052" w:rsidRDefault="00285208" w:rsidP="00E81BB8">
            <w:pPr>
              <w:pStyle w:val="VCAAtablecondensed"/>
              <w:rPr>
                <w:color w:val="auto"/>
                <w:lang w:val="en-AU"/>
              </w:rPr>
            </w:pPr>
            <w:r>
              <w:rPr>
                <w:lang w:val="en-AU"/>
              </w:rPr>
              <w:t xml:space="preserve">Students provide examples to distinguish </w:t>
            </w:r>
            <w:r w:rsidRPr="00320052">
              <w:rPr>
                <w:lang w:val="en-AU"/>
              </w:rPr>
              <w:t>between the material (e.g. clothing, food, art, etc</w:t>
            </w:r>
            <w:r w:rsidR="003F07D1" w:rsidRPr="00320052">
              <w:rPr>
                <w:lang w:val="en-AU"/>
              </w:rPr>
              <w:t>.</w:t>
            </w:r>
            <w:r w:rsidRPr="00320052">
              <w:rPr>
                <w:lang w:val="en-AU"/>
              </w:rPr>
              <w:t xml:space="preserve">) and </w:t>
            </w:r>
            <w:r w:rsidR="003F07D1" w:rsidRPr="00320052">
              <w:rPr>
                <w:lang w:val="en-AU"/>
              </w:rPr>
              <w:t xml:space="preserve">intangible </w:t>
            </w:r>
            <w:r w:rsidRPr="00320052">
              <w:rPr>
                <w:lang w:val="en-AU"/>
              </w:rPr>
              <w:t>(e.g. language, values, beliefs, norms, etc</w:t>
            </w:r>
            <w:r w:rsidR="003F07D1" w:rsidRPr="00320052">
              <w:rPr>
                <w:lang w:val="en-AU"/>
              </w:rPr>
              <w:t>.</w:t>
            </w:r>
            <w:r w:rsidRPr="00320052">
              <w:rPr>
                <w:lang w:val="en-AU"/>
              </w:rPr>
              <w:t>) aspects of culture.</w:t>
            </w:r>
            <w:r w:rsidR="007B7E3E" w:rsidRPr="00320052">
              <w:rPr>
                <w:lang w:val="en-AU"/>
              </w:rPr>
              <w:t xml:space="preserve"> </w:t>
            </w:r>
            <w:r w:rsidR="00320052">
              <w:rPr>
                <w:lang w:val="en-AU"/>
              </w:rPr>
              <w:t>(</w:t>
            </w:r>
            <w:r w:rsidR="009C2AE5">
              <w:rPr>
                <w:lang w:val="en-AU"/>
              </w:rPr>
              <w:t>See Additional resource</w:t>
            </w:r>
            <w:r w:rsidR="00320052">
              <w:rPr>
                <w:lang w:val="en-AU"/>
              </w:rPr>
              <w:t>s)</w:t>
            </w:r>
          </w:p>
        </w:tc>
        <w:tc>
          <w:tcPr>
            <w:tcW w:w="4791" w:type="dxa"/>
          </w:tcPr>
          <w:p w14:paraId="092660B4" w14:textId="3F99C310" w:rsidR="00457521" w:rsidRPr="008C0A84" w:rsidRDefault="00CF5002" w:rsidP="006169F0">
            <w:pPr>
              <w:pStyle w:val="VCAAtablecondensed"/>
              <w:rPr>
                <w:lang w:val="en-AU"/>
              </w:rPr>
            </w:pPr>
            <w:r>
              <w:rPr>
                <w:lang w:val="en-AU"/>
              </w:rPr>
              <w:t>Group activity on the concept of ‘culture’ remains unchanged.</w:t>
            </w:r>
          </w:p>
        </w:tc>
      </w:tr>
      <w:tr w:rsidR="007421B7" w:rsidRPr="008C0A84" w14:paraId="47C09381" w14:textId="77777777" w:rsidTr="005D48DA">
        <w:tc>
          <w:tcPr>
            <w:tcW w:w="5098" w:type="dxa"/>
          </w:tcPr>
          <w:p w14:paraId="123E135F" w14:textId="6A37C81D" w:rsidR="00043171" w:rsidRPr="008C0A84" w:rsidRDefault="008E6497" w:rsidP="00CF5002">
            <w:pPr>
              <w:pStyle w:val="VCAAtablecondensed"/>
              <w:rPr>
                <w:lang w:val="en-AU"/>
              </w:rPr>
            </w:pPr>
            <w:r>
              <w:rPr>
                <w:lang w:val="en-AU"/>
              </w:rPr>
              <w:t>T</w:t>
            </w:r>
            <w:r w:rsidR="00BE15D2">
              <w:rPr>
                <w:lang w:val="en-AU"/>
              </w:rPr>
              <w:t xml:space="preserve">eacher </w:t>
            </w:r>
            <w:r>
              <w:rPr>
                <w:lang w:val="en-AU"/>
              </w:rPr>
              <w:t>initiates</w:t>
            </w:r>
            <w:r w:rsidR="00BE15D2">
              <w:rPr>
                <w:lang w:val="en-AU"/>
              </w:rPr>
              <w:t xml:space="preserve"> a class brainstorm about</w:t>
            </w:r>
            <w:r w:rsidR="00043171">
              <w:rPr>
                <w:lang w:val="en-AU"/>
              </w:rPr>
              <w:t xml:space="preserve"> the stereotypical cultural traits of Australia</w:t>
            </w:r>
            <w:r w:rsidR="00BF240E">
              <w:rPr>
                <w:lang w:val="en-AU"/>
              </w:rPr>
              <w:t>, including its multicultural aspects</w:t>
            </w:r>
            <w:r w:rsidR="00043171">
              <w:rPr>
                <w:lang w:val="en-AU"/>
              </w:rPr>
              <w:t xml:space="preserve">. </w:t>
            </w:r>
            <w:r>
              <w:rPr>
                <w:lang w:val="en-AU"/>
              </w:rPr>
              <w:t xml:space="preserve">Class </w:t>
            </w:r>
            <w:r w:rsidR="00CF5002">
              <w:rPr>
                <w:lang w:val="en-AU"/>
              </w:rPr>
              <w:t>refer</w:t>
            </w:r>
            <w:r w:rsidR="00320052">
              <w:rPr>
                <w:lang w:val="en-AU"/>
              </w:rPr>
              <w:t>s</w:t>
            </w:r>
            <w:r w:rsidR="00CF5002">
              <w:rPr>
                <w:lang w:val="en-AU"/>
              </w:rPr>
              <w:t xml:space="preserve"> to</w:t>
            </w:r>
            <w:r>
              <w:rPr>
                <w:lang w:val="en-AU"/>
              </w:rPr>
              <w:t xml:space="preserve"> the cultural factors previously identified.</w:t>
            </w:r>
          </w:p>
        </w:tc>
        <w:tc>
          <w:tcPr>
            <w:tcW w:w="4791" w:type="dxa"/>
          </w:tcPr>
          <w:p w14:paraId="7279DA82" w14:textId="69432C89" w:rsidR="007421B7" w:rsidRPr="00B74D78" w:rsidRDefault="00CF5002" w:rsidP="00E243ED">
            <w:pPr>
              <w:pStyle w:val="VCAAtablecondensed"/>
              <w:rPr>
                <w:color w:val="auto"/>
                <w:lang w:val="en-AU"/>
              </w:rPr>
            </w:pPr>
            <w:r w:rsidRPr="00320052">
              <w:t xml:space="preserve">Brainstorm on Australian culture remains unchanged. </w:t>
            </w:r>
          </w:p>
        </w:tc>
      </w:tr>
      <w:tr w:rsidR="00043171" w:rsidRPr="008C0A84" w14:paraId="4565BCFE" w14:textId="77777777" w:rsidTr="005D48DA">
        <w:tc>
          <w:tcPr>
            <w:tcW w:w="5098" w:type="dxa"/>
          </w:tcPr>
          <w:p w14:paraId="1A2638A0" w14:textId="5226763D" w:rsidR="0066575C" w:rsidRDefault="00043171" w:rsidP="00D75F5B">
            <w:pPr>
              <w:pStyle w:val="VCAAtablecondensed"/>
              <w:rPr>
                <w:lang w:val="en-AU"/>
              </w:rPr>
            </w:pPr>
            <w:r>
              <w:rPr>
                <w:lang w:val="en-AU"/>
              </w:rPr>
              <w:t>In small groups, students identify a</w:t>
            </w:r>
            <w:r w:rsidR="00C53483">
              <w:rPr>
                <w:lang w:val="en-AU"/>
              </w:rPr>
              <w:t xml:space="preserve"> smaller</w:t>
            </w:r>
            <w:r w:rsidR="00F312CB">
              <w:rPr>
                <w:lang w:val="en-AU"/>
              </w:rPr>
              <w:t xml:space="preserve"> or</w:t>
            </w:r>
            <w:r>
              <w:rPr>
                <w:lang w:val="en-AU"/>
              </w:rPr>
              <w:t xml:space="preserve"> local cultural context to analyse using the above distinctions. </w:t>
            </w:r>
          </w:p>
          <w:p w14:paraId="71F0B285" w14:textId="6C64D5B8" w:rsidR="00043171" w:rsidRDefault="001A347C" w:rsidP="00D75F5B">
            <w:pPr>
              <w:pStyle w:val="VCAAtablecondensed"/>
              <w:rPr>
                <w:lang w:val="en-AU"/>
              </w:rPr>
            </w:pPr>
            <w:r>
              <w:rPr>
                <w:lang w:val="en-AU"/>
              </w:rPr>
              <w:t>S</w:t>
            </w:r>
            <w:r w:rsidR="008421BA">
              <w:rPr>
                <w:lang w:val="en-AU"/>
              </w:rPr>
              <w:t>tudents</w:t>
            </w:r>
            <w:r w:rsidR="00502D92">
              <w:rPr>
                <w:lang w:val="en-AU"/>
              </w:rPr>
              <w:t xml:space="preserve"> could</w:t>
            </w:r>
            <w:r w:rsidR="008421BA">
              <w:rPr>
                <w:lang w:val="en-AU"/>
              </w:rPr>
              <w:t xml:space="preserve"> analyse their</w:t>
            </w:r>
            <w:r w:rsidR="00D75F5B">
              <w:rPr>
                <w:lang w:val="en-AU"/>
              </w:rPr>
              <w:t xml:space="preserve"> s</w:t>
            </w:r>
            <w:r w:rsidR="00043171">
              <w:rPr>
                <w:lang w:val="en-AU"/>
              </w:rPr>
              <w:t>chool culture</w:t>
            </w:r>
            <w:r w:rsidR="00D75F5B">
              <w:rPr>
                <w:lang w:val="en-AU"/>
              </w:rPr>
              <w:t>,</w:t>
            </w:r>
            <w:r w:rsidR="008421BA">
              <w:rPr>
                <w:lang w:val="en-AU"/>
              </w:rPr>
              <w:t xml:space="preserve"> a</w:t>
            </w:r>
            <w:r w:rsidR="00D75F5B">
              <w:rPr>
                <w:lang w:val="en-AU"/>
              </w:rPr>
              <w:t xml:space="preserve"> musical subculture, </w:t>
            </w:r>
            <w:r w:rsidR="008421BA">
              <w:rPr>
                <w:lang w:val="en-AU"/>
              </w:rPr>
              <w:t>football</w:t>
            </w:r>
            <w:r w:rsidR="001E4737">
              <w:rPr>
                <w:lang w:val="en-AU"/>
              </w:rPr>
              <w:t xml:space="preserve"> culture, </w:t>
            </w:r>
            <w:r w:rsidR="00502D92">
              <w:rPr>
                <w:lang w:val="en-AU"/>
              </w:rPr>
              <w:t xml:space="preserve">gaming culture, or other appropriate </w:t>
            </w:r>
            <w:r w:rsidR="00C53483">
              <w:rPr>
                <w:lang w:val="en-AU"/>
              </w:rPr>
              <w:t>sub</w:t>
            </w:r>
            <w:r w:rsidR="00502D92">
              <w:rPr>
                <w:lang w:val="en-AU"/>
              </w:rPr>
              <w:t>cultures</w:t>
            </w:r>
            <w:r w:rsidR="00AF0838">
              <w:rPr>
                <w:lang w:val="en-AU"/>
              </w:rPr>
              <w:t>.</w:t>
            </w:r>
            <w:r>
              <w:rPr>
                <w:lang w:val="en-AU"/>
              </w:rPr>
              <w:t xml:space="preserve"> They then explore cultural interrelationships within these smaller contexts. For example, students could examine the </w:t>
            </w:r>
            <w:r w:rsidR="00320052">
              <w:rPr>
                <w:lang w:val="en-AU"/>
              </w:rPr>
              <w:t>Australian Football League (</w:t>
            </w:r>
            <w:r w:rsidR="00DF6569">
              <w:rPr>
                <w:lang w:val="en-AU"/>
              </w:rPr>
              <w:t>AFL</w:t>
            </w:r>
            <w:r w:rsidR="00320052">
              <w:rPr>
                <w:lang w:val="en-AU"/>
              </w:rPr>
              <w:t>)</w:t>
            </w:r>
            <w:r w:rsidR="00DF6569">
              <w:rPr>
                <w:lang w:val="en-AU"/>
              </w:rPr>
              <w:t xml:space="preserve">, and then </w:t>
            </w:r>
            <w:r>
              <w:rPr>
                <w:lang w:val="en-AU"/>
              </w:rPr>
              <w:t xml:space="preserve">development of the AFL’s multicultural program, including Multicultural Ambassadors and rounds. They could explore the history of the program, its reception, and how it may have changed </w:t>
            </w:r>
            <w:r w:rsidR="00DF6569">
              <w:rPr>
                <w:lang w:val="en-AU"/>
              </w:rPr>
              <w:t xml:space="preserve">AFL or even </w:t>
            </w:r>
            <w:r>
              <w:rPr>
                <w:lang w:val="en-AU"/>
              </w:rPr>
              <w:t>the broader Australian cultural landscape.</w:t>
            </w:r>
          </w:p>
          <w:p w14:paraId="57A2F00C" w14:textId="284A8C55" w:rsidR="00043171" w:rsidRDefault="00AF0838" w:rsidP="00377AC8">
            <w:pPr>
              <w:pStyle w:val="VCAAtablecondensed"/>
              <w:rPr>
                <w:lang w:val="en-AU"/>
              </w:rPr>
            </w:pPr>
            <w:r>
              <w:rPr>
                <w:lang w:val="en-AU"/>
              </w:rPr>
              <w:lastRenderedPageBreak/>
              <w:t xml:space="preserve">Students produce a poster </w:t>
            </w:r>
            <w:r w:rsidR="00DF6569">
              <w:rPr>
                <w:lang w:val="en-AU"/>
              </w:rPr>
              <w:t xml:space="preserve">displaying </w:t>
            </w:r>
            <w:r>
              <w:rPr>
                <w:lang w:val="en-AU"/>
              </w:rPr>
              <w:t>the</w:t>
            </w:r>
            <w:r w:rsidR="003F07D1">
              <w:rPr>
                <w:lang w:val="en-AU"/>
              </w:rPr>
              <w:t xml:space="preserve"> </w:t>
            </w:r>
            <w:r>
              <w:rPr>
                <w:lang w:val="en-AU"/>
              </w:rPr>
              <w:t xml:space="preserve">cultural </w:t>
            </w:r>
            <w:r w:rsidR="007C25A9">
              <w:rPr>
                <w:lang w:val="en-AU"/>
              </w:rPr>
              <w:t xml:space="preserve">aspects </w:t>
            </w:r>
            <w:r w:rsidR="00FB0871">
              <w:rPr>
                <w:lang w:val="en-AU"/>
              </w:rPr>
              <w:t>relevant for their chosen local cultural context</w:t>
            </w:r>
            <w:r w:rsidR="001A347C">
              <w:rPr>
                <w:lang w:val="en-AU"/>
              </w:rPr>
              <w:t xml:space="preserve"> </w:t>
            </w:r>
            <w:r w:rsidR="00DF6569">
              <w:rPr>
                <w:lang w:val="en-AU"/>
              </w:rPr>
              <w:t>(</w:t>
            </w:r>
            <w:r w:rsidR="00377AC8">
              <w:rPr>
                <w:lang w:val="en-AU"/>
              </w:rPr>
              <w:t>e.g.</w:t>
            </w:r>
            <w:r w:rsidR="00DF6569">
              <w:rPr>
                <w:lang w:val="en-AU"/>
              </w:rPr>
              <w:t xml:space="preserve"> the AFL) </w:t>
            </w:r>
            <w:r w:rsidR="001A347C">
              <w:rPr>
                <w:lang w:val="en-AU"/>
              </w:rPr>
              <w:t xml:space="preserve">and </w:t>
            </w:r>
            <w:r w:rsidR="00DF6569">
              <w:rPr>
                <w:lang w:val="en-AU"/>
              </w:rPr>
              <w:t xml:space="preserve">the effects of the cultural interrelationship analysed (i.e. commentary for games being broadcast in multiple languages, </w:t>
            </w:r>
            <w:r w:rsidR="00DC6E60">
              <w:rPr>
                <w:lang w:val="en-AU"/>
              </w:rPr>
              <w:t xml:space="preserve">improved </w:t>
            </w:r>
            <w:r w:rsidR="00DF6569">
              <w:rPr>
                <w:lang w:val="en-AU"/>
              </w:rPr>
              <w:t xml:space="preserve">sense of </w:t>
            </w:r>
            <w:r w:rsidR="00DC6E60">
              <w:rPr>
                <w:lang w:val="en-AU"/>
              </w:rPr>
              <w:t>belonging</w:t>
            </w:r>
            <w:r w:rsidR="00DF6569">
              <w:rPr>
                <w:lang w:val="en-AU"/>
              </w:rPr>
              <w:t xml:space="preserve"> for people of diverse backgrounds, higher percentage of players from diverse backgrounds)</w:t>
            </w:r>
            <w:r>
              <w:rPr>
                <w:lang w:val="en-AU"/>
              </w:rPr>
              <w:t>.</w:t>
            </w:r>
          </w:p>
        </w:tc>
        <w:tc>
          <w:tcPr>
            <w:tcW w:w="4791" w:type="dxa"/>
          </w:tcPr>
          <w:p w14:paraId="5E754FC8" w14:textId="06356E80" w:rsidR="004B59EC" w:rsidRPr="00320052" w:rsidRDefault="004B59EC" w:rsidP="00296672">
            <w:pPr>
              <w:pStyle w:val="VCAAtablecondensed"/>
            </w:pPr>
            <w:r w:rsidRPr="00320052">
              <w:lastRenderedPageBreak/>
              <w:t xml:space="preserve">Students consider a workplace environment relating to the subculture that they examined in the existing activity. They identify </w:t>
            </w:r>
            <w:r w:rsidR="007C25A9">
              <w:t xml:space="preserve">aspects of </w:t>
            </w:r>
            <w:r w:rsidR="00341C53" w:rsidRPr="00320052">
              <w:t>cultur</w:t>
            </w:r>
            <w:r w:rsidR="007C25A9">
              <w:t>e</w:t>
            </w:r>
            <w:r w:rsidR="00341C53" w:rsidRPr="00320052">
              <w:t xml:space="preserve"> associated with those work environments and consider </w:t>
            </w:r>
            <w:r w:rsidR="00320052">
              <w:t>how</w:t>
            </w:r>
            <w:r w:rsidR="00341C53" w:rsidRPr="00320052">
              <w:t xml:space="preserve"> interrelationships between cultures ha</w:t>
            </w:r>
            <w:r w:rsidR="00320052">
              <w:t>ve</w:t>
            </w:r>
            <w:r w:rsidR="00341C53" w:rsidRPr="00320052">
              <w:t xml:space="preserve"> impacts on that environment. For example, what was it like to work for the AFL before the increased focus on multiculturalism? What material and intangible changes may have occurred in this work setting as it became more inclusive?</w:t>
            </w:r>
          </w:p>
          <w:p w14:paraId="20DFD11B" w14:textId="10FBC20B" w:rsidR="0087201E" w:rsidRPr="00320052" w:rsidRDefault="007F7198">
            <w:pPr>
              <w:pStyle w:val="VCAAtablecondensed"/>
            </w:pPr>
            <w:r w:rsidRPr="00320052">
              <w:t>Alternatively, teacher identifies a l</w:t>
            </w:r>
            <w:r w:rsidR="00B81A3A" w:rsidRPr="00320052">
              <w:t>ocal</w:t>
            </w:r>
            <w:r w:rsidRPr="00320052">
              <w:t xml:space="preserve"> business or</w:t>
            </w:r>
            <w:r w:rsidR="00B81A3A" w:rsidRPr="00320052">
              <w:t xml:space="preserve"> industry</w:t>
            </w:r>
            <w:r w:rsidRPr="00320052">
              <w:t xml:space="preserve"> to use as a case study, </w:t>
            </w:r>
            <w:r w:rsidR="00341C53" w:rsidRPr="00320052">
              <w:t xml:space="preserve">possibly </w:t>
            </w:r>
            <w:r w:rsidRPr="00320052">
              <w:t xml:space="preserve">arranging </w:t>
            </w:r>
            <w:r w:rsidR="0098504D">
              <w:t xml:space="preserve">a </w:t>
            </w:r>
            <w:r w:rsidRPr="00320052">
              <w:t xml:space="preserve">guest speaker </w:t>
            </w:r>
            <w:r w:rsidR="003F62CD" w:rsidRPr="00320052">
              <w:t>who</w:t>
            </w:r>
            <w:r w:rsidRPr="00320052">
              <w:t xml:space="preserve"> students</w:t>
            </w:r>
            <w:r w:rsidR="009F4074" w:rsidRPr="00320052">
              <w:t xml:space="preserve"> can interview about</w:t>
            </w:r>
            <w:r w:rsidR="00341C53" w:rsidRPr="00320052">
              <w:t xml:space="preserve"> a</w:t>
            </w:r>
            <w:r w:rsidR="009F4074" w:rsidRPr="00320052">
              <w:t xml:space="preserve"> workplace culture</w:t>
            </w:r>
            <w:r w:rsidR="00341C53" w:rsidRPr="00320052">
              <w:t xml:space="preserve"> that has </w:t>
            </w:r>
            <w:r w:rsidR="00341C53" w:rsidRPr="00320052">
              <w:lastRenderedPageBreak/>
              <w:t xml:space="preserve">been </w:t>
            </w:r>
            <w:r w:rsidR="00320052">
              <w:t>affected</w:t>
            </w:r>
            <w:r w:rsidR="00341C53" w:rsidRPr="00320052">
              <w:t xml:space="preserve"> by a culturally diverse workforce (i.e. uniform modifications, the inclusion of prayer rooms, modification of team meals).</w:t>
            </w:r>
            <w:r w:rsidR="00683D37" w:rsidRPr="00320052">
              <w:t xml:space="preserve"> </w:t>
            </w:r>
            <w:r w:rsidR="00A009DB" w:rsidRPr="00320052">
              <w:t>See Consideration</w:t>
            </w:r>
            <w:r w:rsidR="00D739C0">
              <w:t>s, below,</w:t>
            </w:r>
            <w:r w:rsidR="00B81A3A" w:rsidRPr="00320052">
              <w:t xml:space="preserve"> for</w:t>
            </w:r>
            <w:r w:rsidR="00E37F58" w:rsidRPr="00320052">
              <w:t xml:space="preserve"> </w:t>
            </w:r>
            <w:r w:rsidR="00A009DB" w:rsidRPr="00320052">
              <w:t>how this activity could be taught alongside different learning areas</w:t>
            </w:r>
            <w:r w:rsidR="00B81A3A" w:rsidRPr="00320052">
              <w:t xml:space="preserve">. </w:t>
            </w:r>
          </w:p>
        </w:tc>
      </w:tr>
      <w:tr w:rsidR="00043171" w:rsidRPr="008C0A84" w14:paraId="3F7C9F0C" w14:textId="77777777" w:rsidTr="005D48DA">
        <w:tc>
          <w:tcPr>
            <w:tcW w:w="5098" w:type="dxa"/>
            <w:tcBorders>
              <w:bottom w:val="single" w:sz="4" w:space="0" w:color="auto"/>
            </w:tcBorders>
          </w:tcPr>
          <w:p w14:paraId="446FB8DB" w14:textId="3DF822C2" w:rsidR="00043171" w:rsidRPr="008C0A84" w:rsidRDefault="001E4737" w:rsidP="00377AC8">
            <w:pPr>
              <w:pStyle w:val="VCAAtablecondensed"/>
              <w:rPr>
                <w:lang w:val="en-AU"/>
              </w:rPr>
            </w:pPr>
            <w:r>
              <w:rPr>
                <w:lang w:val="en-AU"/>
              </w:rPr>
              <w:lastRenderedPageBreak/>
              <w:t>Students complete individual written reflection</w:t>
            </w:r>
            <w:r w:rsidR="0098504D">
              <w:rPr>
                <w:lang w:val="en-AU"/>
              </w:rPr>
              <w:t>s</w:t>
            </w:r>
            <w:r>
              <w:rPr>
                <w:lang w:val="en-AU"/>
              </w:rPr>
              <w:t xml:space="preserve"> on </w:t>
            </w:r>
            <w:r w:rsidR="00AF0838">
              <w:rPr>
                <w:lang w:val="en-AU"/>
              </w:rPr>
              <w:t xml:space="preserve">the </w:t>
            </w:r>
            <w:r w:rsidR="006F3B6F">
              <w:rPr>
                <w:lang w:val="en-AU"/>
              </w:rPr>
              <w:t>inter</w:t>
            </w:r>
            <w:r w:rsidR="00AF0838">
              <w:rPr>
                <w:lang w:val="en-AU"/>
              </w:rPr>
              <w:t xml:space="preserve">relationship between </w:t>
            </w:r>
            <w:r w:rsidR="006F3B6F">
              <w:rPr>
                <w:lang w:val="en-AU"/>
              </w:rPr>
              <w:t>‘Australian’ (</w:t>
            </w:r>
            <w:r w:rsidR="00377AC8">
              <w:rPr>
                <w:lang w:val="en-AU"/>
              </w:rPr>
              <w:t>e.g.</w:t>
            </w:r>
            <w:r w:rsidR="006F3B6F">
              <w:rPr>
                <w:lang w:val="en-AU"/>
              </w:rPr>
              <w:t xml:space="preserve"> national</w:t>
            </w:r>
            <w:bookmarkStart w:id="1" w:name="_GoBack"/>
            <w:bookmarkEnd w:id="1"/>
            <w:r w:rsidR="006F3B6F">
              <w:rPr>
                <w:lang w:val="en-AU"/>
              </w:rPr>
              <w:t xml:space="preserve">) cultural traits, and </w:t>
            </w:r>
            <w:r w:rsidR="004F1F89">
              <w:rPr>
                <w:lang w:val="en-AU"/>
              </w:rPr>
              <w:t xml:space="preserve">those of </w:t>
            </w:r>
            <w:r w:rsidR="006F3B6F">
              <w:rPr>
                <w:lang w:val="en-AU"/>
              </w:rPr>
              <w:t>other subcultures</w:t>
            </w:r>
            <w:r>
              <w:rPr>
                <w:lang w:val="en-AU"/>
              </w:rPr>
              <w:t xml:space="preserve">, </w:t>
            </w:r>
            <w:r w:rsidR="006F3B6F">
              <w:rPr>
                <w:lang w:val="en-AU"/>
              </w:rPr>
              <w:t>and how the relationships between cultures impacts both individuals and society</w:t>
            </w:r>
            <w:r>
              <w:rPr>
                <w:lang w:val="en-AU"/>
              </w:rPr>
              <w:t>.</w:t>
            </w:r>
          </w:p>
        </w:tc>
        <w:tc>
          <w:tcPr>
            <w:tcW w:w="4791" w:type="dxa"/>
            <w:tcBorders>
              <w:bottom w:val="single" w:sz="4" w:space="0" w:color="auto"/>
            </w:tcBorders>
          </w:tcPr>
          <w:p w14:paraId="0D137BAF" w14:textId="66C5538C" w:rsidR="0070196F" w:rsidRPr="00320052" w:rsidRDefault="00E44ADC">
            <w:pPr>
              <w:pStyle w:val="VCAAtablecondensed"/>
            </w:pPr>
            <w:r w:rsidRPr="00320052">
              <w:t>Teacher provides students with various workplace scenarios and profiles of potential employees. Students reflect on what changes the workplace could make to adapt to the employee’s needs, and what changes (if any) the employee could make to adapt to the work environment.</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6463B6AB" w14:textId="7E2752B2" w:rsidR="00A90208" w:rsidRDefault="00D272A6" w:rsidP="00C0092C">
      <w:pPr>
        <w:pStyle w:val="VCAAbullet"/>
        <w:rPr>
          <w:lang w:val="en-AU" w:eastAsia="en-AU"/>
        </w:rPr>
      </w:pPr>
      <w:r>
        <w:rPr>
          <w:szCs w:val="18"/>
        </w:rPr>
        <w:t>This activity can exist in a cross-curricular context by</w:t>
      </w:r>
      <w:r w:rsidR="00002C6D">
        <w:rPr>
          <w:lang w:val="en-AU" w:eastAsia="en-AU"/>
        </w:rPr>
        <w:t xml:space="preserve"> looking at growth</w:t>
      </w:r>
      <w:r w:rsidR="008534BB">
        <w:rPr>
          <w:lang w:val="en-AU" w:eastAsia="en-AU"/>
        </w:rPr>
        <w:t xml:space="preserve"> </w:t>
      </w:r>
      <w:r w:rsidR="00BF240E">
        <w:rPr>
          <w:lang w:val="en-AU" w:eastAsia="en-AU"/>
        </w:rPr>
        <w:t>industries</w:t>
      </w:r>
      <w:r>
        <w:rPr>
          <w:lang w:val="en-AU" w:eastAsia="en-AU"/>
        </w:rPr>
        <w:t xml:space="preserve"> relevant to </w:t>
      </w:r>
      <w:r w:rsidR="00002C6D">
        <w:rPr>
          <w:lang w:val="en-AU" w:eastAsia="en-AU"/>
        </w:rPr>
        <w:t>these</w:t>
      </w:r>
      <w:r w:rsidR="00D77F82">
        <w:rPr>
          <w:lang w:val="en-AU" w:eastAsia="en-AU"/>
        </w:rPr>
        <w:t xml:space="preserve"> different</w:t>
      </w:r>
      <w:r>
        <w:rPr>
          <w:lang w:val="en-AU" w:eastAsia="en-AU"/>
        </w:rPr>
        <w:t xml:space="preserve"> learning areas</w:t>
      </w:r>
      <w:r w:rsidR="00BF240E">
        <w:rPr>
          <w:lang w:val="en-AU" w:eastAsia="en-AU"/>
        </w:rPr>
        <w:t>. For example</w:t>
      </w:r>
      <w:r w:rsidR="005C1119">
        <w:rPr>
          <w:lang w:val="en-AU" w:eastAsia="en-AU"/>
        </w:rPr>
        <w:t>, in a Health context</w:t>
      </w:r>
      <w:r w:rsidR="002860C9">
        <w:rPr>
          <w:lang w:val="en-AU" w:eastAsia="en-AU"/>
        </w:rPr>
        <w:t>,</w:t>
      </w:r>
      <w:r w:rsidR="005C1119">
        <w:rPr>
          <w:lang w:val="en-AU" w:eastAsia="en-AU"/>
        </w:rPr>
        <w:t xml:space="preserve"> </w:t>
      </w:r>
      <w:r w:rsidR="00002C6D">
        <w:rPr>
          <w:lang w:val="en-AU" w:eastAsia="en-AU"/>
        </w:rPr>
        <w:t xml:space="preserve">students </w:t>
      </w:r>
      <w:r w:rsidR="002860C9">
        <w:rPr>
          <w:lang w:val="en-AU" w:eastAsia="en-AU"/>
        </w:rPr>
        <w:t>w</w:t>
      </w:r>
      <w:r w:rsidR="00002C6D">
        <w:rPr>
          <w:lang w:val="en-AU" w:eastAsia="en-AU"/>
        </w:rPr>
        <w:t xml:space="preserve">ould look at growth areas </w:t>
      </w:r>
      <w:r w:rsidR="001639A6">
        <w:rPr>
          <w:lang w:val="en-AU" w:eastAsia="en-AU"/>
        </w:rPr>
        <w:t>with a diverse workforce</w:t>
      </w:r>
      <w:r w:rsidR="00002C6D">
        <w:rPr>
          <w:lang w:val="en-AU" w:eastAsia="en-AU"/>
        </w:rPr>
        <w:t>, such as aged care</w:t>
      </w:r>
      <w:r w:rsidR="005C1119">
        <w:rPr>
          <w:lang w:val="en-AU" w:eastAsia="en-AU"/>
        </w:rPr>
        <w:t>. In the Arts, the emphasis would be on</w:t>
      </w:r>
      <w:r w:rsidR="00002C6D">
        <w:rPr>
          <w:lang w:val="en-AU" w:eastAsia="en-AU"/>
        </w:rPr>
        <w:t xml:space="preserve"> emerging</w:t>
      </w:r>
      <w:r w:rsidR="005C1119">
        <w:rPr>
          <w:lang w:val="en-AU" w:eastAsia="en-AU"/>
        </w:rPr>
        <w:t xml:space="preserve"> audiences</w:t>
      </w:r>
      <w:r w:rsidR="008534BB">
        <w:rPr>
          <w:lang w:val="en-AU" w:eastAsia="en-AU"/>
        </w:rPr>
        <w:t xml:space="preserve"> and contexts</w:t>
      </w:r>
      <w:r w:rsidR="005C1119">
        <w:rPr>
          <w:lang w:val="en-AU" w:eastAsia="en-AU"/>
        </w:rPr>
        <w:t xml:space="preserve"> that creators </w:t>
      </w:r>
      <w:r w:rsidR="008534BB">
        <w:rPr>
          <w:lang w:val="en-AU" w:eastAsia="en-AU"/>
        </w:rPr>
        <w:t>work with</w:t>
      </w:r>
      <w:r w:rsidR="00002C6D">
        <w:rPr>
          <w:lang w:val="en-AU" w:eastAsia="en-AU"/>
        </w:rPr>
        <w:t>in, such as digital</w:t>
      </w:r>
      <w:r w:rsidR="004D203E">
        <w:rPr>
          <w:lang w:val="en-AU" w:eastAsia="en-AU"/>
        </w:rPr>
        <w:t xml:space="preserve"> or multimodal creations</w:t>
      </w:r>
      <w:r w:rsidR="00350363">
        <w:rPr>
          <w:lang w:val="en-AU" w:eastAsia="en-AU"/>
        </w:rPr>
        <w:t xml:space="preserve"> </w:t>
      </w:r>
      <w:r w:rsidR="00463A86">
        <w:rPr>
          <w:lang w:val="en-AU" w:eastAsia="en-AU"/>
        </w:rPr>
        <w:t>published</w:t>
      </w:r>
      <w:r w:rsidR="004D203E">
        <w:rPr>
          <w:lang w:val="en-AU" w:eastAsia="en-AU"/>
        </w:rPr>
        <w:t xml:space="preserve"> online</w:t>
      </w:r>
      <w:r w:rsidR="00002C6D">
        <w:rPr>
          <w:lang w:val="en-AU" w:eastAsia="en-AU"/>
        </w:rPr>
        <w:t>.</w:t>
      </w:r>
    </w:p>
    <w:p w14:paraId="7B8C7A50" w14:textId="38F95881" w:rsidR="008D57CA" w:rsidRPr="00BE0A74" w:rsidRDefault="007C25A9" w:rsidP="00BE0A74">
      <w:pPr>
        <w:pStyle w:val="VCAAbullet"/>
        <w:rPr>
          <w:lang w:val="en-AU" w:eastAsia="en-AU"/>
        </w:rPr>
      </w:pPr>
      <w:r>
        <w:t>Teachers will need to prepare culturally-diverse employee profiles and accompanying workplace scenarios to present to students for the final stage of the adapted activity.</w:t>
      </w:r>
    </w:p>
    <w:p w14:paraId="05008861" w14:textId="77777777" w:rsidR="00AD2E96" w:rsidRPr="00320052" w:rsidRDefault="00DB533D" w:rsidP="00AD2E96">
      <w:pPr>
        <w:pStyle w:val="VCAAHeading4"/>
      </w:pPr>
      <w:r>
        <w:t xml:space="preserve">Additional resources to help when adapting the learning </w:t>
      </w:r>
      <w:r w:rsidR="00AD2E96" w:rsidRPr="008C0A84">
        <w:rPr>
          <w:lang w:val="en-AU"/>
        </w:rPr>
        <w:t>activity</w:t>
      </w:r>
    </w:p>
    <w:p w14:paraId="4A134259" w14:textId="005DD3AB" w:rsidR="00285208" w:rsidRPr="006B15D4" w:rsidRDefault="00BE2161" w:rsidP="005D48DA">
      <w:pPr>
        <w:pStyle w:val="VCAAbullet"/>
      </w:pPr>
      <w:r w:rsidRPr="00002C6D">
        <w:rPr>
          <w:i/>
        </w:rPr>
        <w:t>CrashCourse</w:t>
      </w:r>
      <w:r>
        <w:t xml:space="preserve"> </w:t>
      </w:r>
      <w:r w:rsidR="0028206E">
        <w:t>‘</w:t>
      </w:r>
      <w:hyperlink r:id="rId12" w:history="1">
        <w:r w:rsidR="0028206E" w:rsidRPr="00BE2161">
          <w:rPr>
            <w:rStyle w:val="Hyperlink"/>
          </w:rPr>
          <w:t>Symbols, Values &amp; Norms: Crash Course Sociology #10</w:t>
        </w:r>
      </w:hyperlink>
      <w:r w:rsidR="0028206E">
        <w:t>’</w:t>
      </w:r>
    </w:p>
    <w:p w14:paraId="5433FAE4" w14:textId="1C818F19" w:rsidR="003C394F" w:rsidRPr="00320052" w:rsidRDefault="002D1CEC" w:rsidP="00AD2E96">
      <w:pPr>
        <w:pStyle w:val="VCAAbullet"/>
      </w:pPr>
      <w:r>
        <w:rPr>
          <w:szCs w:val="18"/>
        </w:rPr>
        <w:t>Scenes from</w:t>
      </w:r>
      <w:r w:rsidR="00CC1450">
        <w:rPr>
          <w:szCs w:val="18"/>
        </w:rPr>
        <w:t xml:space="preserve"> </w:t>
      </w:r>
      <w:r>
        <w:rPr>
          <w:szCs w:val="18"/>
        </w:rPr>
        <w:t>Australian</w:t>
      </w:r>
      <w:r w:rsidR="000C3988">
        <w:rPr>
          <w:szCs w:val="18"/>
        </w:rPr>
        <w:t>-produced</w:t>
      </w:r>
      <w:r>
        <w:rPr>
          <w:szCs w:val="18"/>
        </w:rPr>
        <w:t xml:space="preserve"> television may </w:t>
      </w:r>
      <w:r w:rsidR="00796C3B">
        <w:rPr>
          <w:szCs w:val="18"/>
        </w:rPr>
        <w:t>help when</w:t>
      </w:r>
      <w:r>
        <w:rPr>
          <w:szCs w:val="18"/>
        </w:rPr>
        <w:t xml:space="preserve"> introducing concepts relating to intercultural dyn</w:t>
      </w:r>
      <w:r w:rsidRPr="00320052">
        <w:t xml:space="preserve">amics. </w:t>
      </w:r>
      <w:r w:rsidR="00CD219C" w:rsidRPr="00320052">
        <w:t>For example,</w:t>
      </w:r>
      <w:r w:rsidR="00796C3B" w:rsidRPr="00320052">
        <w:t xml:space="preserve"> see</w:t>
      </w:r>
      <w:r w:rsidR="00CD219C" w:rsidRPr="00320052">
        <w:t xml:space="preserve"> </w:t>
      </w:r>
      <w:r w:rsidR="00CD219C" w:rsidRPr="00320052">
        <w:rPr>
          <w:i/>
          <w:iCs/>
        </w:rPr>
        <w:t>Bush Mechanics</w:t>
      </w:r>
      <w:r w:rsidRPr="00320052">
        <w:rPr>
          <w:i/>
          <w:iCs/>
        </w:rPr>
        <w:t xml:space="preserve"> </w:t>
      </w:r>
      <w:r w:rsidRPr="00320052">
        <w:t>(1998–2001)</w:t>
      </w:r>
      <w:r w:rsidR="00CD219C" w:rsidRPr="00320052">
        <w:rPr>
          <w:i/>
          <w:iCs/>
        </w:rPr>
        <w:t xml:space="preserve"> </w:t>
      </w:r>
      <w:r w:rsidRPr="00320052">
        <w:t xml:space="preserve">or </w:t>
      </w:r>
      <w:r w:rsidRPr="00320052">
        <w:rPr>
          <w:i/>
          <w:iCs/>
        </w:rPr>
        <w:t>The Family Law</w:t>
      </w:r>
      <w:r w:rsidRPr="00320052">
        <w:t xml:space="preserve"> (2016–2019)</w:t>
      </w:r>
      <w:r w:rsidR="00BE2161" w:rsidRPr="00320052">
        <w:t>.</w:t>
      </w:r>
    </w:p>
    <w:p w14:paraId="203DB08D" w14:textId="718B7567" w:rsidR="00BE2161" w:rsidRPr="00320052" w:rsidRDefault="00377AC8" w:rsidP="00AD2E96">
      <w:pPr>
        <w:pStyle w:val="VCAAbullet"/>
      </w:pPr>
      <w:hyperlink r:id="rId13" w:history="1">
        <w:r w:rsidR="00BE2161" w:rsidRPr="00BE2161">
          <w:rPr>
            <w:rStyle w:val="Hyperlink"/>
            <w:lang w:val="en-AU"/>
          </w:rPr>
          <w:t>Victorian Equal Opportunity and Human Rights Commission</w:t>
        </w:r>
      </w:hyperlink>
      <w:r w:rsidR="00BE2161" w:rsidRPr="00320052">
        <w:t xml:space="preserve"> </w:t>
      </w:r>
    </w:p>
    <w:p w14:paraId="1C5BB2C2" w14:textId="44920FF2" w:rsidR="00BE2161" w:rsidRDefault="0070196F" w:rsidP="00BE2161">
      <w:pPr>
        <w:pStyle w:val="VCAAbullet"/>
        <w:rPr>
          <w:lang w:val="en-AU"/>
        </w:rPr>
      </w:pPr>
      <w:r w:rsidRPr="00320052">
        <w:t>Labour Market Information Portal</w:t>
      </w:r>
      <w:r w:rsidR="00BE2161" w:rsidRPr="00320052">
        <w:t>, ‘</w:t>
      </w:r>
      <w:hyperlink r:id="rId14" w:history="1">
        <w:r w:rsidR="00BE2161" w:rsidRPr="00320052">
          <w:rPr>
            <w:rStyle w:val="Hyperlink"/>
          </w:rPr>
          <w:t>Employment projections</w:t>
        </w:r>
      </w:hyperlink>
      <w:r w:rsidR="00BE2161" w:rsidRPr="00320052">
        <w:t>’</w:t>
      </w:r>
      <w:r w:rsidRPr="00320052">
        <w:t xml:space="preserve"> </w:t>
      </w:r>
    </w:p>
    <w:p w14:paraId="5B6532E0" w14:textId="6B6EFFE4" w:rsidR="00F01253" w:rsidRPr="00BE2161" w:rsidRDefault="00905484" w:rsidP="00296672">
      <w:pPr>
        <w:pStyle w:val="VCAAHeading3"/>
        <w:rPr>
          <w:lang w:val="en-AU"/>
        </w:rPr>
      </w:pPr>
      <w:r w:rsidRPr="00296672">
        <w:rPr>
          <w:lang w:val="en-AU"/>
        </w:rPr>
        <w:t>B</w:t>
      </w:r>
      <w:r w:rsidR="0038622E" w:rsidRPr="00296672">
        <w:rPr>
          <w:lang w:val="en-AU"/>
        </w:rPr>
        <w:t>enefit</w:t>
      </w:r>
      <w:r w:rsidR="00425FD1" w:rsidRPr="00BE2161">
        <w:rPr>
          <w:lang w:val="en-AU"/>
        </w:rPr>
        <w:t>s for</w:t>
      </w:r>
      <w:r w:rsidR="0038622E" w:rsidRPr="00BE2161">
        <w:rPr>
          <w:lang w:val="en-AU"/>
        </w:rPr>
        <w:t xml:space="preserve"> </w:t>
      </w:r>
      <w:r w:rsidR="007E7D1F" w:rsidRPr="00BE2161">
        <w:rPr>
          <w:lang w:val="en-AU"/>
        </w:rPr>
        <w:t>students</w:t>
      </w:r>
    </w:p>
    <w:p w14:paraId="7D5FAB03" w14:textId="327A9D58" w:rsidR="00F01253" w:rsidRPr="00320052" w:rsidRDefault="00320052" w:rsidP="00F01253">
      <w:pPr>
        <w:pStyle w:val="VCAAbody"/>
      </w:pPr>
      <w:r w:rsidRPr="00320052">
        <w:rPr>
          <w:lang w:val="en-AU"/>
        </w:rPr>
        <w:t>Know yourself – self-development:</w:t>
      </w:r>
    </w:p>
    <w:p w14:paraId="05B87CF5" w14:textId="735A4DA8" w:rsidR="00DB533D" w:rsidRPr="0024683E" w:rsidRDefault="007C25A9" w:rsidP="00F01253">
      <w:pPr>
        <w:pStyle w:val="VCAAbullet"/>
        <w:numPr>
          <w:ilvl w:val="0"/>
          <w:numId w:val="28"/>
        </w:numPr>
        <w:ind w:left="425" w:hanging="425"/>
      </w:pPr>
      <w:r>
        <w:rPr>
          <w:lang w:val="en-AU"/>
        </w:rPr>
        <w:t xml:space="preserve">Students </w:t>
      </w:r>
      <w:r w:rsidR="00320052">
        <w:rPr>
          <w:lang w:val="en-AU"/>
        </w:rPr>
        <w:t>reflect on</w:t>
      </w:r>
      <w:r w:rsidR="0024683E">
        <w:rPr>
          <w:lang w:val="en-AU"/>
        </w:rPr>
        <w:t xml:space="preserve"> the complexities of cultural practices within a workplace context</w:t>
      </w:r>
      <w:r>
        <w:rPr>
          <w:lang w:val="en-AU"/>
        </w:rPr>
        <w:t xml:space="preserve">, and how their actions can affect and influence others, </w:t>
      </w:r>
      <w:r w:rsidR="0024683E">
        <w:rPr>
          <w:lang w:val="en-AU"/>
        </w:rPr>
        <w:t>reinforc</w:t>
      </w:r>
      <w:r w:rsidR="00D739C0">
        <w:rPr>
          <w:lang w:val="en-AU"/>
        </w:rPr>
        <w:t>ing</w:t>
      </w:r>
      <w:r w:rsidR="0024683E">
        <w:rPr>
          <w:lang w:val="en-AU"/>
        </w:rPr>
        <w:t xml:space="preserve"> the need to </w:t>
      </w:r>
      <w:r w:rsidR="0024683E" w:rsidRPr="00320052">
        <w:rPr>
          <w:lang w:val="en-AU"/>
        </w:rPr>
        <w:t xml:space="preserve">be adaptable and flexible in how </w:t>
      </w:r>
      <w:r w:rsidR="0098504D">
        <w:rPr>
          <w:lang w:val="en-AU"/>
        </w:rPr>
        <w:t>they</w:t>
      </w:r>
      <w:r w:rsidR="0024683E">
        <w:rPr>
          <w:lang w:val="en-AU"/>
        </w:rPr>
        <w:t xml:space="preserve"> respond to challenges. </w:t>
      </w:r>
    </w:p>
    <w:p w14:paraId="66FA02DD" w14:textId="58E138C2" w:rsidR="00F01253" w:rsidRPr="008C0A84" w:rsidRDefault="00320052" w:rsidP="00F01253">
      <w:pPr>
        <w:pStyle w:val="VCAAbody"/>
        <w:rPr>
          <w:lang w:val="en-AU"/>
        </w:rPr>
      </w:pPr>
      <w:r w:rsidRPr="00320052">
        <w:rPr>
          <w:lang w:val="en-AU"/>
        </w:rPr>
        <w:t>Know your world – career exploration:</w:t>
      </w:r>
    </w:p>
    <w:p w14:paraId="6AFAA203" w14:textId="4CB3BE61" w:rsidR="00BE2161" w:rsidRPr="00320052" w:rsidRDefault="007C25A9" w:rsidP="00F01253">
      <w:pPr>
        <w:pStyle w:val="VCAAbullet"/>
        <w:numPr>
          <w:ilvl w:val="0"/>
          <w:numId w:val="28"/>
        </w:numPr>
        <w:ind w:left="425" w:hanging="425"/>
      </w:pPr>
      <w:r>
        <w:t xml:space="preserve">Students </w:t>
      </w:r>
      <w:r w:rsidR="00373C8F" w:rsidRPr="00320052">
        <w:rPr>
          <w:kern w:val="0"/>
          <w:lang w:val="en-US"/>
        </w:rPr>
        <w:t>examin</w:t>
      </w:r>
      <w:r>
        <w:t>e</w:t>
      </w:r>
      <w:r w:rsidR="00BE2161" w:rsidRPr="00320052">
        <w:rPr>
          <w:kern w:val="0"/>
          <w:lang w:val="en-US"/>
        </w:rPr>
        <w:t xml:space="preserve"> the relationships between cultures within a workplace context </w:t>
      </w:r>
      <w:r>
        <w:t>and gain</w:t>
      </w:r>
      <w:r w:rsidR="00BE2161" w:rsidRPr="00320052">
        <w:rPr>
          <w:kern w:val="0"/>
          <w:lang w:val="en-US"/>
        </w:rPr>
        <w:t xml:space="preserve"> insight into some of the issues inherent in many workplaces, and therefore think about how they will function as part of a workplace later in life.</w:t>
      </w:r>
    </w:p>
    <w:p w14:paraId="5E11C16D" w14:textId="6156D0F8" w:rsidR="00F01253" w:rsidRPr="00320052" w:rsidRDefault="00320052" w:rsidP="00F01253">
      <w:pPr>
        <w:pStyle w:val="VCAAbody"/>
      </w:pPr>
      <w:r w:rsidRPr="00320052">
        <w:t>Know your world – career exploration:</w:t>
      </w:r>
    </w:p>
    <w:p w14:paraId="2D7F8098" w14:textId="6A4A35E5" w:rsidR="00BE2161" w:rsidRPr="00320052" w:rsidRDefault="00320052" w:rsidP="00F01253">
      <w:pPr>
        <w:pStyle w:val="VCAAbullet"/>
      </w:pPr>
      <w:r>
        <w:t>By r</w:t>
      </w:r>
      <w:r w:rsidR="00BE2161" w:rsidRPr="00320052">
        <w:t>eflecting on the adaptation of workplaces to an increasingly diverse workforce</w:t>
      </w:r>
      <w:r w:rsidRPr="00320052">
        <w:t>,</w:t>
      </w:r>
      <w:r w:rsidR="00BE2161" w:rsidRPr="00320052">
        <w:t xml:space="preserve"> </w:t>
      </w:r>
      <w:r w:rsidR="0024683E" w:rsidRPr="00320052">
        <w:t xml:space="preserve">students </w:t>
      </w:r>
      <w:r w:rsidRPr="00320052">
        <w:t xml:space="preserve">can </w:t>
      </w:r>
      <w:r w:rsidR="0024683E" w:rsidRPr="00320052">
        <w:t xml:space="preserve">grasp the changing nature of life and work roles. </w:t>
      </w:r>
    </w:p>
    <w:p w14:paraId="5DD6FFBA" w14:textId="7ACC454A" w:rsidR="00F01253" w:rsidRPr="00296672" w:rsidRDefault="00320052" w:rsidP="00320052">
      <w:pPr>
        <w:pStyle w:val="VCAAbullet"/>
      </w:pPr>
      <w:r>
        <w:t>Students examine</w:t>
      </w:r>
      <w:r w:rsidR="00FA4C56" w:rsidRPr="00320052">
        <w:t xml:space="preserve"> growth industries as example</w:t>
      </w:r>
      <w:r w:rsidR="0098504D">
        <w:t xml:space="preserve">s of </w:t>
      </w:r>
      <w:r w:rsidR="00FA4C56" w:rsidRPr="00320052">
        <w:t>workplaces</w:t>
      </w:r>
      <w:r>
        <w:t>,</w:t>
      </w:r>
      <w:r w:rsidR="00FA4C56" w:rsidRPr="00320052">
        <w:t xml:space="preserve"> enhanc</w:t>
      </w:r>
      <w:r>
        <w:t>ing</w:t>
      </w:r>
      <w:r w:rsidR="00FA4C56" w:rsidRPr="00320052">
        <w:t xml:space="preserve"> their knowledge of the labour market and associated opportunit</w:t>
      </w:r>
      <w:r>
        <w:t>ies.</w:t>
      </w:r>
      <w:r w:rsidR="00FA4C56" w:rsidRPr="00320052">
        <w:t xml:space="preserve"> </w:t>
      </w:r>
    </w:p>
    <w:sectPr w:rsidR="00F01253" w:rsidRPr="00296672"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5C1DB0" w16cid:durableId="23146C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320052" w:rsidRDefault="00320052" w:rsidP="00304EA1">
      <w:pPr>
        <w:spacing w:after="0" w:line="240" w:lineRule="auto"/>
      </w:pPr>
      <w:r>
        <w:separator/>
      </w:r>
    </w:p>
  </w:endnote>
  <w:endnote w:type="continuationSeparator" w:id="0">
    <w:p w14:paraId="3270DF94" w14:textId="77777777" w:rsidR="00320052" w:rsidRDefault="0032005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320052" w:rsidRPr="00D06414" w14:paraId="6474FD3B" w14:textId="77777777" w:rsidTr="00BB3BAB">
      <w:trPr>
        <w:trHeight w:val="476"/>
      </w:trPr>
      <w:tc>
        <w:tcPr>
          <w:tcW w:w="1667" w:type="pct"/>
          <w:tcMar>
            <w:left w:w="0" w:type="dxa"/>
            <w:right w:w="0" w:type="dxa"/>
          </w:tcMar>
        </w:tcPr>
        <w:p w14:paraId="0EC15F2D" w14:textId="77777777" w:rsidR="00320052" w:rsidRPr="00D06414" w:rsidRDefault="0032005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320052" w:rsidRPr="00D06414" w:rsidRDefault="0032005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1464F4C" w:rsidR="00320052" w:rsidRPr="00D06414" w:rsidRDefault="0032005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77AC8">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320052" w:rsidRPr="00D06414" w:rsidRDefault="0032005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320052" w:rsidRPr="00D06414" w14:paraId="36A4ADC1" w14:textId="77777777" w:rsidTr="000F5AAF">
      <w:tc>
        <w:tcPr>
          <w:tcW w:w="1459" w:type="pct"/>
          <w:tcMar>
            <w:left w:w="0" w:type="dxa"/>
            <w:right w:w="0" w:type="dxa"/>
          </w:tcMar>
        </w:tcPr>
        <w:p w14:paraId="74DB1FC2" w14:textId="77777777" w:rsidR="00320052" w:rsidRPr="00D06414" w:rsidRDefault="0032005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320052" w:rsidRPr="00D06414" w:rsidRDefault="0032005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320052" w:rsidRPr="00D06414" w:rsidRDefault="0032005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320052" w:rsidRPr="00D06414" w:rsidRDefault="0032005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320052" w:rsidRDefault="00320052" w:rsidP="00304EA1">
      <w:pPr>
        <w:spacing w:after="0" w:line="240" w:lineRule="auto"/>
      </w:pPr>
      <w:r>
        <w:separator/>
      </w:r>
    </w:p>
  </w:footnote>
  <w:footnote w:type="continuationSeparator" w:id="0">
    <w:p w14:paraId="13540A36" w14:textId="77777777" w:rsidR="00320052" w:rsidRDefault="0032005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52F78281" w:rsidR="00320052" w:rsidRDefault="00320052" w:rsidP="0038622E">
    <w:pPr>
      <w:pStyle w:val="VCAAbody"/>
    </w:pPr>
    <w:r>
      <w:t>Embedding career education in the Victorian Curriculum F–10 – Intercultural Capability, Levels 9 and 10</w:t>
    </w:r>
  </w:p>
  <w:p w14:paraId="0F4EB06A" w14:textId="77777777" w:rsidR="00320052" w:rsidRPr="0038622E" w:rsidRDefault="00320052" w:rsidP="0038622E">
    <w:pPr>
      <w:pStyle w:val="VCAAbody"/>
      <w:rPr>
        <w:color w:val="0F7EB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320052" w:rsidRPr="009370BC" w:rsidRDefault="00320052"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4CC3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7E21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E4A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A48B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0459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622E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E2F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2F5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324A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86D4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C316B"/>
    <w:multiLevelType w:val="hybridMultilevel"/>
    <w:tmpl w:val="314E00E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24CC2"/>
    <w:multiLevelType w:val="hybridMultilevel"/>
    <w:tmpl w:val="ED5A5762"/>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46457FBD"/>
    <w:multiLevelType w:val="multilevel"/>
    <w:tmpl w:val="711CCC94"/>
    <w:lvl w:ilvl="0">
      <w:start w:val="1"/>
      <w:numFmt w:val="bullet"/>
      <w:lvlText w:val=""/>
      <w:lvlJc w:val="left"/>
      <w:pPr>
        <w:ind w:left="5748" w:hanging="360"/>
      </w:pPr>
      <w:rPr>
        <w:rFonts w:ascii="Symbol" w:hAnsi="Symbol" w:cs="Symbol" w:hint="default"/>
        <w:b/>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19" w15:restartNumberingAfterBreak="0">
    <w:nsid w:val="473E602B"/>
    <w:multiLevelType w:val="hybridMultilevel"/>
    <w:tmpl w:val="4F0A80C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0F05C2"/>
    <w:multiLevelType w:val="hybridMultilevel"/>
    <w:tmpl w:val="239A3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2872B6C"/>
    <w:multiLevelType w:val="hybridMultilevel"/>
    <w:tmpl w:val="6D50FE3C"/>
    <w:lvl w:ilvl="0" w:tplc="0F523D8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15:restartNumberingAfterBreak="0">
    <w:nsid w:val="78E005A7"/>
    <w:multiLevelType w:val="hybridMultilevel"/>
    <w:tmpl w:val="1E3A0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21"/>
  </w:num>
  <w:num w:numId="3">
    <w:abstractNumId w:val="17"/>
  </w:num>
  <w:num w:numId="4">
    <w:abstractNumId w:val="12"/>
  </w:num>
  <w:num w:numId="5">
    <w:abstractNumId w:val="25"/>
  </w:num>
  <w:num w:numId="6">
    <w:abstractNumId w:val="15"/>
  </w:num>
  <w:num w:numId="7">
    <w:abstractNumId w:val="13"/>
  </w:num>
  <w:num w:numId="8">
    <w:abstractNumId w:val="2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4"/>
  </w:num>
  <w:num w:numId="21">
    <w:abstractNumId w:val="22"/>
  </w:num>
  <w:num w:numId="22">
    <w:abstractNumId w:val="11"/>
  </w:num>
  <w:num w:numId="23">
    <w:abstractNumId w:val="16"/>
  </w:num>
  <w:num w:numId="24">
    <w:abstractNumId w:val="23"/>
  </w:num>
  <w:num w:numId="25">
    <w:abstractNumId w:val="10"/>
  </w:num>
  <w:num w:numId="26">
    <w:abstractNumId w:val="27"/>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2C6D"/>
    <w:rsid w:val="00003885"/>
    <w:rsid w:val="000076B1"/>
    <w:rsid w:val="00021E20"/>
    <w:rsid w:val="00021FF5"/>
    <w:rsid w:val="00033048"/>
    <w:rsid w:val="00043171"/>
    <w:rsid w:val="000454CE"/>
    <w:rsid w:val="0005780E"/>
    <w:rsid w:val="000618BD"/>
    <w:rsid w:val="00065CC6"/>
    <w:rsid w:val="00072AF1"/>
    <w:rsid w:val="00085FFA"/>
    <w:rsid w:val="00086CFC"/>
    <w:rsid w:val="00097F58"/>
    <w:rsid w:val="000A71F7"/>
    <w:rsid w:val="000B152F"/>
    <w:rsid w:val="000C3988"/>
    <w:rsid w:val="000C5DD1"/>
    <w:rsid w:val="000C5EBC"/>
    <w:rsid w:val="000E3DA1"/>
    <w:rsid w:val="000F09E4"/>
    <w:rsid w:val="000F16FD"/>
    <w:rsid w:val="000F5AAF"/>
    <w:rsid w:val="00121FF7"/>
    <w:rsid w:val="0012374D"/>
    <w:rsid w:val="00125CCC"/>
    <w:rsid w:val="00143520"/>
    <w:rsid w:val="00153AD2"/>
    <w:rsid w:val="001639A6"/>
    <w:rsid w:val="00165D1E"/>
    <w:rsid w:val="001779EA"/>
    <w:rsid w:val="00184DA8"/>
    <w:rsid w:val="001926FE"/>
    <w:rsid w:val="00195639"/>
    <w:rsid w:val="001A347C"/>
    <w:rsid w:val="001A39A9"/>
    <w:rsid w:val="001D2D56"/>
    <w:rsid w:val="001D3246"/>
    <w:rsid w:val="001D6C22"/>
    <w:rsid w:val="001E4737"/>
    <w:rsid w:val="001E4822"/>
    <w:rsid w:val="001F5D88"/>
    <w:rsid w:val="00201788"/>
    <w:rsid w:val="002279BA"/>
    <w:rsid w:val="002329F3"/>
    <w:rsid w:val="002411E9"/>
    <w:rsid w:val="00243F0D"/>
    <w:rsid w:val="0024683E"/>
    <w:rsid w:val="00254888"/>
    <w:rsid w:val="00255852"/>
    <w:rsid w:val="00260767"/>
    <w:rsid w:val="002647BB"/>
    <w:rsid w:val="002754C1"/>
    <w:rsid w:val="0028206E"/>
    <w:rsid w:val="002841C8"/>
    <w:rsid w:val="0028516B"/>
    <w:rsid w:val="00285208"/>
    <w:rsid w:val="002860C9"/>
    <w:rsid w:val="00296672"/>
    <w:rsid w:val="002B103A"/>
    <w:rsid w:val="002C3128"/>
    <w:rsid w:val="002C6F90"/>
    <w:rsid w:val="002D1CEC"/>
    <w:rsid w:val="002E4FB5"/>
    <w:rsid w:val="00302FB8"/>
    <w:rsid w:val="00304EA1"/>
    <w:rsid w:val="00314D81"/>
    <w:rsid w:val="00320052"/>
    <w:rsid w:val="00322FC6"/>
    <w:rsid w:val="00341C53"/>
    <w:rsid w:val="00350363"/>
    <w:rsid w:val="0035293F"/>
    <w:rsid w:val="00366E2E"/>
    <w:rsid w:val="00373C8F"/>
    <w:rsid w:val="00377AC8"/>
    <w:rsid w:val="0038622E"/>
    <w:rsid w:val="00391986"/>
    <w:rsid w:val="00392864"/>
    <w:rsid w:val="003A00B4"/>
    <w:rsid w:val="003A5678"/>
    <w:rsid w:val="003A7AFB"/>
    <w:rsid w:val="003C394F"/>
    <w:rsid w:val="003C5E71"/>
    <w:rsid w:val="003D2FD0"/>
    <w:rsid w:val="003F07D1"/>
    <w:rsid w:val="003F62CD"/>
    <w:rsid w:val="00411D26"/>
    <w:rsid w:val="00417AA3"/>
    <w:rsid w:val="00421DB1"/>
    <w:rsid w:val="00425DFE"/>
    <w:rsid w:val="00425FD1"/>
    <w:rsid w:val="00434EDB"/>
    <w:rsid w:val="00440B32"/>
    <w:rsid w:val="00457521"/>
    <w:rsid w:val="0046078D"/>
    <w:rsid w:val="00463A86"/>
    <w:rsid w:val="00467AC2"/>
    <w:rsid w:val="004751BE"/>
    <w:rsid w:val="0048438A"/>
    <w:rsid w:val="00492DAD"/>
    <w:rsid w:val="00495592"/>
    <w:rsid w:val="00495C80"/>
    <w:rsid w:val="004A2ED8"/>
    <w:rsid w:val="004B59EC"/>
    <w:rsid w:val="004D203E"/>
    <w:rsid w:val="004D70CD"/>
    <w:rsid w:val="004E794A"/>
    <w:rsid w:val="004F1F89"/>
    <w:rsid w:val="004F5BDA"/>
    <w:rsid w:val="004F6DE0"/>
    <w:rsid w:val="00502D92"/>
    <w:rsid w:val="005049EF"/>
    <w:rsid w:val="0051631E"/>
    <w:rsid w:val="00532C48"/>
    <w:rsid w:val="00537A1F"/>
    <w:rsid w:val="00563E1D"/>
    <w:rsid w:val="00564B8C"/>
    <w:rsid w:val="00566029"/>
    <w:rsid w:val="00567FD3"/>
    <w:rsid w:val="00572DFC"/>
    <w:rsid w:val="005923CB"/>
    <w:rsid w:val="005B391B"/>
    <w:rsid w:val="005C1119"/>
    <w:rsid w:val="005C541D"/>
    <w:rsid w:val="005D3D78"/>
    <w:rsid w:val="005D48DA"/>
    <w:rsid w:val="005D7236"/>
    <w:rsid w:val="005E2EF0"/>
    <w:rsid w:val="005F4092"/>
    <w:rsid w:val="00603A8D"/>
    <w:rsid w:val="00606F1D"/>
    <w:rsid w:val="00610518"/>
    <w:rsid w:val="006169F0"/>
    <w:rsid w:val="0061736C"/>
    <w:rsid w:val="0066202F"/>
    <w:rsid w:val="0066575C"/>
    <w:rsid w:val="00667D41"/>
    <w:rsid w:val="00683D37"/>
    <w:rsid w:val="0068471E"/>
    <w:rsid w:val="00684F98"/>
    <w:rsid w:val="006935D9"/>
    <w:rsid w:val="00693FFD"/>
    <w:rsid w:val="006A6353"/>
    <w:rsid w:val="006B04B6"/>
    <w:rsid w:val="006B15D4"/>
    <w:rsid w:val="006C1FAA"/>
    <w:rsid w:val="006C5FD6"/>
    <w:rsid w:val="006C7019"/>
    <w:rsid w:val="006D2159"/>
    <w:rsid w:val="006F3B6F"/>
    <w:rsid w:val="006F58F8"/>
    <w:rsid w:val="006F787C"/>
    <w:rsid w:val="0070196F"/>
    <w:rsid w:val="00702636"/>
    <w:rsid w:val="0071274F"/>
    <w:rsid w:val="00724507"/>
    <w:rsid w:val="0073694B"/>
    <w:rsid w:val="007421B7"/>
    <w:rsid w:val="007623B9"/>
    <w:rsid w:val="00773E6C"/>
    <w:rsid w:val="00781FB1"/>
    <w:rsid w:val="00796C3B"/>
    <w:rsid w:val="007A0E4B"/>
    <w:rsid w:val="007A2B56"/>
    <w:rsid w:val="007B19C3"/>
    <w:rsid w:val="007B7E3E"/>
    <w:rsid w:val="007C25A9"/>
    <w:rsid w:val="007D1B6D"/>
    <w:rsid w:val="007D2819"/>
    <w:rsid w:val="007D6335"/>
    <w:rsid w:val="007D68BF"/>
    <w:rsid w:val="007E7D1F"/>
    <w:rsid w:val="007F5FC2"/>
    <w:rsid w:val="007F7198"/>
    <w:rsid w:val="00801D46"/>
    <w:rsid w:val="00813C37"/>
    <w:rsid w:val="00814057"/>
    <w:rsid w:val="008154B5"/>
    <w:rsid w:val="00823962"/>
    <w:rsid w:val="008421BA"/>
    <w:rsid w:val="00847A73"/>
    <w:rsid w:val="00852719"/>
    <w:rsid w:val="0085296D"/>
    <w:rsid w:val="008534BB"/>
    <w:rsid w:val="00854FF1"/>
    <w:rsid w:val="00860115"/>
    <w:rsid w:val="00862F22"/>
    <w:rsid w:val="0087201E"/>
    <w:rsid w:val="0088783C"/>
    <w:rsid w:val="008B1278"/>
    <w:rsid w:val="008C0A84"/>
    <w:rsid w:val="008D0ABF"/>
    <w:rsid w:val="008D4E7C"/>
    <w:rsid w:val="008D57CA"/>
    <w:rsid w:val="008E3120"/>
    <w:rsid w:val="008E6497"/>
    <w:rsid w:val="00903CC3"/>
    <w:rsid w:val="00905484"/>
    <w:rsid w:val="009370BC"/>
    <w:rsid w:val="009453A6"/>
    <w:rsid w:val="00970580"/>
    <w:rsid w:val="00982A72"/>
    <w:rsid w:val="009840A7"/>
    <w:rsid w:val="0098504D"/>
    <w:rsid w:val="00986B17"/>
    <w:rsid w:val="0098739B"/>
    <w:rsid w:val="009B61E5"/>
    <w:rsid w:val="009C2AE5"/>
    <w:rsid w:val="009D1E89"/>
    <w:rsid w:val="009E0CB8"/>
    <w:rsid w:val="009E15CD"/>
    <w:rsid w:val="009E5707"/>
    <w:rsid w:val="009F4074"/>
    <w:rsid w:val="00A009DB"/>
    <w:rsid w:val="00A053AC"/>
    <w:rsid w:val="00A13223"/>
    <w:rsid w:val="00A132E8"/>
    <w:rsid w:val="00A17661"/>
    <w:rsid w:val="00A24B2D"/>
    <w:rsid w:val="00A27DCD"/>
    <w:rsid w:val="00A32389"/>
    <w:rsid w:val="00A32C1A"/>
    <w:rsid w:val="00A3547A"/>
    <w:rsid w:val="00A40966"/>
    <w:rsid w:val="00A50E81"/>
    <w:rsid w:val="00A52DE2"/>
    <w:rsid w:val="00A662B0"/>
    <w:rsid w:val="00A90208"/>
    <w:rsid w:val="00A921E0"/>
    <w:rsid w:val="00A922F4"/>
    <w:rsid w:val="00AD2E96"/>
    <w:rsid w:val="00AD59D5"/>
    <w:rsid w:val="00AE5224"/>
    <w:rsid w:val="00AE5526"/>
    <w:rsid w:val="00AF051B"/>
    <w:rsid w:val="00AF0838"/>
    <w:rsid w:val="00B01578"/>
    <w:rsid w:val="00B0738F"/>
    <w:rsid w:val="00B13D3B"/>
    <w:rsid w:val="00B230DB"/>
    <w:rsid w:val="00B26601"/>
    <w:rsid w:val="00B30E01"/>
    <w:rsid w:val="00B41951"/>
    <w:rsid w:val="00B51FA6"/>
    <w:rsid w:val="00B53229"/>
    <w:rsid w:val="00B53FA1"/>
    <w:rsid w:val="00B62480"/>
    <w:rsid w:val="00B74D78"/>
    <w:rsid w:val="00B81A3A"/>
    <w:rsid w:val="00B81B70"/>
    <w:rsid w:val="00BA412A"/>
    <w:rsid w:val="00BB3BAB"/>
    <w:rsid w:val="00BD0724"/>
    <w:rsid w:val="00BD2B91"/>
    <w:rsid w:val="00BE0A74"/>
    <w:rsid w:val="00BE15D2"/>
    <w:rsid w:val="00BE2161"/>
    <w:rsid w:val="00BE5521"/>
    <w:rsid w:val="00BF240E"/>
    <w:rsid w:val="00BF4193"/>
    <w:rsid w:val="00BF608C"/>
    <w:rsid w:val="00BF6C23"/>
    <w:rsid w:val="00C0092C"/>
    <w:rsid w:val="00C2005D"/>
    <w:rsid w:val="00C53263"/>
    <w:rsid w:val="00C53483"/>
    <w:rsid w:val="00C6415E"/>
    <w:rsid w:val="00C75F1D"/>
    <w:rsid w:val="00C95156"/>
    <w:rsid w:val="00CA0A19"/>
    <w:rsid w:val="00CA0DC2"/>
    <w:rsid w:val="00CB68E8"/>
    <w:rsid w:val="00CC1450"/>
    <w:rsid w:val="00CC6283"/>
    <w:rsid w:val="00CD219C"/>
    <w:rsid w:val="00CD3D23"/>
    <w:rsid w:val="00CE3777"/>
    <w:rsid w:val="00CF5002"/>
    <w:rsid w:val="00D04F01"/>
    <w:rsid w:val="00D06414"/>
    <w:rsid w:val="00D145D1"/>
    <w:rsid w:val="00D16102"/>
    <w:rsid w:val="00D24E5A"/>
    <w:rsid w:val="00D272A6"/>
    <w:rsid w:val="00D338E4"/>
    <w:rsid w:val="00D35D07"/>
    <w:rsid w:val="00D36FA7"/>
    <w:rsid w:val="00D4304F"/>
    <w:rsid w:val="00D51947"/>
    <w:rsid w:val="00D532F0"/>
    <w:rsid w:val="00D615A1"/>
    <w:rsid w:val="00D739C0"/>
    <w:rsid w:val="00D75F5B"/>
    <w:rsid w:val="00D77413"/>
    <w:rsid w:val="00D77F82"/>
    <w:rsid w:val="00D82759"/>
    <w:rsid w:val="00D86DE4"/>
    <w:rsid w:val="00DA285D"/>
    <w:rsid w:val="00DB533D"/>
    <w:rsid w:val="00DC6E60"/>
    <w:rsid w:val="00DE0735"/>
    <w:rsid w:val="00DE1909"/>
    <w:rsid w:val="00DE3D50"/>
    <w:rsid w:val="00DE51DB"/>
    <w:rsid w:val="00DF6569"/>
    <w:rsid w:val="00E12D48"/>
    <w:rsid w:val="00E23F1D"/>
    <w:rsid w:val="00E243ED"/>
    <w:rsid w:val="00E30E05"/>
    <w:rsid w:val="00E36361"/>
    <w:rsid w:val="00E37F58"/>
    <w:rsid w:val="00E44ADC"/>
    <w:rsid w:val="00E55AE9"/>
    <w:rsid w:val="00E56D1D"/>
    <w:rsid w:val="00E64780"/>
    <w:rsid w:val="00E7116E"/>
    <w:rsid w:val="00E81BB8"/>
    <w:rsid w:val="00E9592C"/>
    <w:rsid w:val="00EA2830"/>
    <w:rsid w:val="00EA5FCD"/>
    <w:rsid w:val="00EB0C84"/>
    <w:rsid w:val="00EC361B"/>
    <w:rsid w:val="00EF1E25"/>
    <w:rsid w:val="00F01253"/>
    <w:rsid w:val="00F17FDE"/>
    <w:rsid w:val="00F312CB"/>
    <w:rsid w:val="00F358DD"/>
    <w:rsid w:val="00F40D53"/>
    <w:rsid w:val="00F4525C"/>
    <w:rsid w:val="00F50D86"/>
    <w:rsid w:val="00F6610F"/>
    <w:rsid w:val="00F83F8C"/>
    <w:rsid w:val="00FA15C8"/>
    <w:rsid w:val="00FA4C56"/>
    <w:rsid w:val="00FB0871"/>
    <w:rsid w:val="00FB23F1"/>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E3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6610F"/>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paragraph" w:styleId="FootnoteText">
    <w:name w:val="footnote text"/>
    <w:basedOn w:val="Normal"/>
    <w:link w:val="FootnoteTextChar"/>
    <w:uiPriority w:val="99"/>
    <w:semiHidden/>
    <w:unhideWhenUsed/>
    <w:rsid w:val="009C2A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2AE5"/>
    <w:rPr>
      <w:sz w:val="20"/>
      <w:szCs w:val="20"/>
    </w:rPr>
  </w:style>
  <w:style w:type="character" w:styleId="FootnoteReference">
    <w:name w:val="footnote reference"/>
    <w:basedOn w:val="DefaultParagraphFont"/>
    <w:uiPriority w:val="99"/>
    <w:semiHidden/>
    <w:unhideWhenUsed/>
    <w:rsid w:val="009C2AE5"/>
    <w:rPr>
      <w:vertAlign w:val="superscript"/>
    </w:rPr>
  </w:style>
  <w:style w:type="character" w:customStyle="1" w:styleId="UnresolvedMention1">
    <w:name w:val="Unresolved Mention1"/>
    <w:basedOn w:val="DefaultParagraphFont"/>
    <w:uiPriority w:val="99"/>
    <w:semiHidden/>
    <w:unhideWhenUsed/>
    <w:rsid w:val="003F07D1"/>
    <w:rPr>
      <w:color w:val="605E5C"/>
      <w:shd w:val="clear" w:color="auto" w:fill="E1DFDD"/>
    </w:rPr>
  </w:style>
  <w:style w:type="character" w:styleId="FollowedHyperlink">
    <w:name w:val="FollowedHyperlink"/>
    <w:basedOn w:val="DefaultParagraphFont"/>
    <w:uiPriority w:val="99"/>
    <w:semiHidden/>
    <w:unhideWhenUsed/>
    <w:rsid w:val="00BE2161"/>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40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manrightscommission.vic.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youtu.be/kGrVhM_Gi8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ICCB01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mip.gov.au/default.aspx?LMIP/EmploymentProjection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5EEA3-C321-409D-B36F-82DBAD09B2F0}"/>
</file>

<file path=customXml/itemProps2.xml><?xml version="1.0" encoding="utf-8"?>
<ds:datastoreItem xmlns:ds="http://schemas.openxmlformats.org/officeDocument/2006/customXml" ds:itemID="{EBA848B5-61E6-45CE-88A6-73FD729D8E9B}">
  <ds:schemaRefs>
    <ds:schemaRef ds:uri="http://www.w3.org/XML/1998/namespace"/>
    <ds:schemaRef ds:uri="http://schemas.microsoft.com/office/2006/metadata/properties"/>
    <ds:schemaRef ds:uri="http://schemas.openxmlformats.org/package/2006/metadata/core-properties"/>
    <ds:schemaRef ds:uri="http://purl.org/dc/dcmitype/"/>
    <ds:schemaRef ds:uri="http://purl.org/dc/terms/"/>
    <ds:schemaRef ds:uri="http://purl.org/dc/elements/1.1/"/>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44127E12-1DE6-4D17-99DE-9650C82D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Intercultural Capability</cp:keywords>
  <cp:lastModifiedBy>Witt, Kylie I</cp:lastModifiedBy>
  <cp:revision>2</cp:revision>
  <cp:lastPrinted>2020-03-04T04:43:00Z</cp:lastPrinted>
  <dcterms:created xsi:type="dcterms:W3CDTF">2020-09-30T05:28:00Z</dcterms:created>
  <dcterms:modified xsi:type="dcterms:W3CDTF">2020-09-30T05:28:00Z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