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1879E7AE" w:rsidR="00086CFC" w:rsidRPr="00145853" w:rsidRDefault="00C2005D" w:rsidP="00145853">
      <w:pPr>
        <w:pStyle w:val="VCAAHeading1"/>
        <w:rPr>
          <w:lang w:val="en-AU"/>
        </w:rPr>
      </w:pPr>
      <w:r w:rsidRPr="00145853">
        <w:rPr>
          <w:lang w:val="en-AU"/>
        </w:rPr>
        <w:t>E</w:t>
      </w:r>
      <w:r w:rsidR="00E56D1D" w:rsidRPr="00145853">
        <w:rPr>
          <w:lang w:val="en-AU"/>
        </w:rPr>
        <w:t>m</w:t>
      </w:r>
      <w:r w:rsidR="007E7D1F" w:rsidRPr="00145853">
        <w:rPr>
          <w:lang w:val="en-AU"/>
        </w:rPr>
        <w:t xml:space="preserve">bedding career education in </w:t>
      </w:r>
      <w:r w:rsidR="00E56D1D" w:rsidRPr="00145853">
        <w:rPr>
          <w:lang w:val="en-AU"/>
        </w:rPr>
        <w:t>the Victorian Curriculum F–10</w:t>
      </w:r>
      <w:r w:rsidR="00086CFC" w:rsidRPr="00145853">
        <w:rPr>
          <w:lang w:val="en-AU"/>
        </w:rPr>
        <w:t xml:space="preserve"> </w:t>
      </w:r>
    </w:p>
    <w:p w14:paraId="309AA2D5" w14:textId="62E0AC8D" w:rsidR="004F6DE0" w:rsidRPr="00145853" w:rsidRDefault="000E281A" w:rsidP="004F6DE0">
      <w:pPr>
        <w:pStyle w:val="VCAAHeading2"/>
        <w:rPr>
          <w:lang w:val="en-AU"/>
        </w:rPr>
      </w:pPr>
      <w:bookmarkStart w:id="0" w:name="TemplateOverview"/>
      <w:bookmarkEnd w:id="0"/>
      <w:r w:rsidRPr="00145853">
        <w:rPr>
          <w:lang w:val="en-AU"/>
        </w:rPr>
        <w:t>Intercultural Capability</w:t>
      </w:r>
      <w:r w:rsidR="006F58F8" w:rsidRPr="00145853">
        <w:rPr>
          <w:lang w:val="en-AU"/>
        </w:rPr>
        <w:t xml:space="preserve">, Levels </w:t>
      </w:r>
      <w:r w:rsidR="008F0810" w:rsidRPr="00145853">
        <w:rPr>
          <w:lang w:val="en-AU"/>
        </w:rPr>
        <w:t>5 and 6</w:t>
      </w:r>
      <w:bookmarkStart w:id="1" w:name="_GoBack"/>
      <w:bookmarkEnd w:id="1"/>
    </w:p>
    <w:p w14:paraId="2E354ED1" w14:textId="17B9BB6E" w:rsidR="0038622E" w:rsidRPr="00145853" w:rsidRDefault="008B1278" w:rsidP="004F6DE0">
      <w:pPr>
        <w:pStyle w:val="VCAAbodyintrotext"/>
        <w:rPr>
          <w:lang w:val="en-AU"/>
        </w:rPr>
      </w:pPr>
      <w:r w:rsidRPr="00145853">
        <w:rPr>
          <w:lang w:val="en-AU"/>
        </w:rPr>
        <w:t>An e</w:t>
      </w:r>
      <w:r w:rsidR="00C6415E" w:rsidRPr="00145853">
        <w:rPr>
          <w:lang w:val="en-AU"/>
        </w:rPr>
        <w:t>xisting l</w:t>
      </w:r>
      <w:r w:rsidRPr="00145853">
        <w:rPr>
          <w:lang w:val="en-AU"/>
        </w:rPr>
        <w:t>earning activity</w:t>
      </w:r>
      <w:r w:rsidR="00254888" w:rsidRPr="00145853">
        <w:rPr>
          <w:lang w:val="en-AU"/>
        </w:rPr>
        <w:t xml:space="preserve"> linked to</w:t>
      </w:r>
      <w:r w:rsidRPr="00145853">
        <w:rPr>
          <w:lang w:val="en-AU"/>
        </w:rPr>
        <w:t xml:space="preserve"> a particular learning area or capability in the</w:t>
      </w:r>
      <w:r w:rsidR="00C6415E" w:rsidRPr="00145853">
        <w:rPr>
          <w:lang w:val="en-AU"/>
        </w:rPr>
        <w:t xml:space="preserve"> Victorian Curriculum F–10</w:t>
      </w:r>
      <w:r w:rsidR="0038622E" w:rsidRPr="00145853">
        <w:rPr>
          <w:lang w:val="en-AU"/>
        </w:rPr>
        <w:t xml:space="preserve"> can be</w:t>
      </w:r>
      <w:r w:rsidR="00255852" w:rsidRPr="00145853">
        <w:rPr>
          <w:lang w:val="en-AU"/>
        </w:rPr>
        <w:t xml:space="preserve"> easily</w:t>
      </w:r>
      <w:r w:rsidR="0038622E" w:rsidRPr="00145853">
        <w:rPr>
          <w:lang w:val="en-AU"/>
        </w:rPr>
        <w:t xml:space="preserve"> </w:t>
      </w:r>
      <w:r w:rsidR="00255852" w:rsidRPr="00145853">
        <w:rPr>
          <w:lang w:val="en-AU"/>
        </w:rPr>
        <w:t xml:space="preserve">adapted </w:t>
      </w:r>
      <w:r w:rsidR="0038622E" w:rsidRPr="00145853">
        <w:rPr>
          <w:lang w:val="en-AU"/>
        </w:rPr>
        <w:t>to incorporate career education</w:t>
      </w:r>
      <w:r w:rsidR="00255852" w:rsidRPr="00145853">
        <w:rPr>
          <w:lang w:val="en-AU"/>
        </w:rPr>
        <w:t>, enriching students’ career-related learning and skill development</w:t>
      </w:r>
      <w:r w:rsidR="00C6415E" w:rsidRPr="00145853">
        <w:rPr>
          <w:lang w:val="en-AU"/>
        </w:rPr>
        <w:t xml:space="preserve">. </w:t>
      </w:r>
    </w:p>
    <w:p w14:paraId="27EE590C" w14:textId="43E2E57C" w:rsidR="00255852" w:rsidRPr="00145853" w:rsidRDefault="00254888" w:rsidP="004F6DE0">
      <w:pPr>
        <w:pStyle w:val="VCAAHeading3"/>
        <w:rPr>
          <w:lang w:val="en-AU"/>
        </w:rPr>
      </w:pPr>
      <w:r w:rsidRPr="00145853">
        <w:rPr>
          <w:lang w:val="en-AU"/>
        </w:rPr>
        <w:t xml:space="preserve">1. Identify an existing learning activity </w:t>
      </w:r>
    </w:p>
    <w:p w14:paraId="0AE57492" w14:textId="1B8A74DD" w:rsidR="008B1278" w:rsidRPr="00145853" w:rsidRDefault="008B1278" w:rsidP="00145853">
      <w:pPr>
        <w:pStyle w:val="VCAAbody-withlargetabandhangingindent"/>
      </w:pPr>
      <w:r w:rsidRPr="00145853">
        <w:rPr>
          <w:b/>
        </w:rPr>
        <w:t>Curriculum area and levels:</w:t>
      </w:r>
      <w:r w:rsidRPr="00145853">
        <w:tab/>
      </w:r>
      <w:r w:rsidR="000E281A" w:rsidRPr="00145853">
        <w:t xml:space="preserve">Intercultural Capability, </w:t>
      </w:r>
      <w:r w:rsidR="008F0810" w:rsidRPr="00145853">
        <w:t>Levels 5 and 6</w:t>
      </w:r>
    </w:p>
    <w:p w14:paraId="1FB5B60B" w14:textId="07102112" w:rsidR="008B1278" w:rsidRPr="00145853" w:rsidRDefault="00254888" w:rsidP="008B1278">
      <w:pPr>
        <w:pStyle w:val="VCAAbody-withlargetabandhangingindent"/>
        <w:rPr>
          <w:rStyle w:val="Hyperlink"/>
          <w:color w:val="000000" w:themeColor="text1"/>
          <w:u w:val="none"/>
        </w:rPr>
      </w:pPr>
      <w:r w:rsidRPr="00145853">
        <w:rPr>
          <w:b/>
        </w:rPr>
        <w:t>Relevant c</w:t>
      </w:r>
      <w:r w:rsidR="008B1278" w:rsidRPr="00145853">
        <w:rPr>
          <w:b/>
        </w:rPr>
        <w:t>ontent description:</w:t>
      </w:r>
      <w:r w:rsidR="006F58F8" w:rsidRPr="00145853">
        <w:tab/>
      </w:r>
      <w:r w:rsidR="00E11837" w:rsidRPr="00145853">
        <w:t>Examine and discuss the variety of ways in which people understand and appreciate differing cultural values and perspectives, and the things which promote or inhibit effective engagement with diverse cultural groups (</w:t>
      </w:r>
      <w:hyperlink r:id="rId11" w:history="1">
        <w:r w:rsidR="00E11837" w:rsidRPr="00145853">
          <w:rPr>
            <w:rStyle w:val="Hyperlink"/>
          </w:rPr>
          <w:t>VCICCD012</w:t>
        </w:r>
      </w:hyperlink>
      <w:r w:rsidR="00E11837" w:rsidRPr="00145853">
        <w:t>)</w:t>
      </w:r>
    </w:p>
    <w:p w14:paraId="36A2C730" w14:textId="721EA944" w:rsidR="007E7D1F" w:rsidRPr="00145853" w:rsidRDefault="00B51FA6" w:rsidP="00B51FA6">
      <w:pPr>
        <w:pStyle w:val="VCAAbody-withlargetabandhangingindent"/>
      </w:pPr>
      <w:r w:rsidRPr="00145853">
        <w:rPr>
          <w:b/>
        </w:rPr>
        <w:t>Existing a</w:t>
      </w:r>
      <w:r w:rsidR="00254888" w:rsidRPr="00145853">
        <w:rPr>
          <w:b/>
        </w:rPr>
        <w:t>ctivity</w:t>
      </w:r>
      <w:r w:rsidR="00097F58" w:rsidRPr="00145853">
        <w:rPr>
          <w:b/>
        </w:rPr>
        <w:t>:</w:t>
      </w:r>
      <w:r w:rsidR="00254888" w:rsidRPr="00145853">
        <w:tab/>
      </w:r>
      <w:r w:rsidR="0078030E" w:rsidRPr="00145853">
        <w:t>Exploring</w:t>
      </w:r>
      <w:r w:rsidR="00C101D3" w:rsidRPr="00145853">
        <w:t xml:space="preserve"> </w:t>
      </w:r>
      <w:r w:rsidR="00145853">
        <w:t>how</w:t>
      </w:r>
      <w:r w:rsidR="00E11837" w:rsidRPr="00145853">
        <w:t xml:space="preserve"> people can gain a deeper knowledge and understand</w:t>
      </w:r>
      <w:r w:rsidR="00C101D3" w:rsidRPr="00145853">
        <w:t>ing of other cultural customs.</w:t>
      </w:r>
    </w:p>
    <w:p w14:paraId="2364A01C" w14:textId="3FC1B72E" w:rsidR="00421DB1" w:rsidRPr="00145853" w:rsidRDefault="00421DB1" w:rsidP="00C101D3">
      <w:pPr>
        <w:pStyle w:val="VCAAbody-withlargetabandhangingindent"/>
      </w:pPr>
      <w:r w:rsidRPr="00145853">
        <w:rPr>
          <w:b/>
          <w:bCs/>
        </w:rPr>
        <w:t>Summary of adaptation, change, addition:</w:t>
      </w:r>
      <w:r w:rsidRPr="00145853">
        <w:tab/>
      </w:r>
      <w:r w:rsidR="0078030E" w:rsidRPr="00145853">
        <w:t xml:space="preserve">Organising an </w:t>
      </w:r>
      <w:r w:rsidR="00C101D3" w:rsidRPr="00145853">
        <w:t>intercultural event and consider</w:t>
      </w:r>
      <w:r w:rsidR="0078030E" w:rsidRPr="00145853">
        <w:t>ing</w:t>
      </w:r>
      <w:r w:rsidR="00C101D3" w:rsidRPr="00145853">
        <w:t xml:space="preserve"> the links between the event, the workplace and greater society.</w:t>
      </w:r>
    </w:p>
    <w:p w14:paraId="65DFB73F" w14:textId="059D2912" w:rsidR="00254888" w:rsidRPr="00145853" w:rsidRDefault="00254888" w:rsidP="00145853">
      <w:pPr>
        <w:pStyle w:val="VCAAHeading3"/>
        <w:rPr>
          <w:lang w:val="en-AU"/>
        </w:rPr>
      </w:pPr>
      <w:r w:rsidRPr="00145853">
        <w:rPr>
          <w:lang w:val="en-AU"/>
        </w:rPr>
        <w:t xml:space="preserve">2. Adapt the learning activity to </w:t>
      </w:r>
      <w:r w:rsidR="00FF47DF" w:rsidRPr="00145853">
        <w:rPr>
          <w:lang w:val="en-AU"/>
        </w:rPr>
        <w:t>include</w:t>
      </w:r>
      <w:r w:rsidRPr="00145853">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673"/>
        <w:gridCol w:w="5216"/>
      </w:tblGrid>
      <w:tr w:rsidR="00254888" w:rsidRPr="00145853" w14:paraId="47FFE019" w14:textId="77777777" w:rsidTr="00145853">
        <w:trPr>
          <w:cnfStyle w:val="100000000000" w:firstRow="1" w:lastRow="0" w:firstColumn="0" w:lastColumn="0" w:oddVBand="0" w:evenVBand="0" w:oddHBand="0" w:evenHBand="0" w:firstRowFirstColumn="0" w:firstRowLastColumn="0" w:lastRowFirstColumn="0" w:lastRowLastColumn="0"/>
        </w:trPr>
        <w:tc>
          <w:tcPr>
            <w:tcW w:w="4673" w:type="dxa"/>
            <w:tcBorders>
              <w:bottom w:val="single" w:sz="4" w:space="0" w:color="auto"/>
              <w:right w:val="none" w:sz="0" w:space="0" w:color="auto"/>
            </w:tcBorders>
          </w:tcPr>
          <w:p w14:paraId="3D273835" w14:textId="7852C108" w:rsidR="00254888" w:rsidRPr="00145853" w:rsidRDefault="00254888" w:rsidP="00B51FA6">
            <w:pPr>
              <w:pStyle w:val="VCAAtablecondensedheading"/>
              <w:rPr>
                <w:lang w:val="en-AU"/>
              </w:rPr>
            </w:pPr>
            <w:r w:rsidRPr="00145853">
              <w:rPr>
                <w:lang w:val="en-AU"/>
              </w:rPr>
              <w:t>Existing learning activity</w:t>
            </w:r>
          </w:p>
        </w:tc>
        <w:tc>
          <w:tcPr>
            <w:tcW w:w="5216" w:type="dxa"/>
            <w:tcBorders>
              <w:left w:val="none" w:sz="0" w:space="0" w:color="auto"/>
              <w:bottom w:val="single" w:sz="4" w:space="0" w:color="auto"/>
            </w:tcBorders>
          </w:tcPr>
          <w:p w14:paraId="24A423D8" w14:textId="2A06455F" w:rsidR="00254888" w:rsidRPr="00145853" w:rsidRDefault="00E9592C" w:rsidP="00B51FA6">
            <w:pPr>
              <w:pStyle w:val="VCAAtablecondensedheading"/>
              <w:rPr>
                <w:lang w:val="en-AU"/>
              </w:rPr>
            </w:pPr>
            <w:r w:rsidRPr="00145853">
              <w:rPr>
                <w:lang w:val="en-AU"/>
              </w:rPr>
              <w:t>Adaptations, changes or extensions that can be made</w:t>
            </w:r>
          </w:p>
        </w:tc>
      </w:tr>
      <w:tr w:rsidR="00254888" w:rsidRPr="00145853" w14:paraId="20588B85" w14:textId="77777777" w:rsidTr="00145853">
        <w:tc>
          <w:tcPr>
            <w:tcW w:w="4673" w:type="dxa"/>
          </w:tcPr>
          <w:p w14:paraId="46A85701" w14:textId="2BA6E8C0" w:rsidR="00254888" w:rsidRPr="00145853" w:rsidRDefault="00E11837" w:rsidP="00322A78">
            <w:pPr>
              <w:pStyle w:val="VCAAtablecondensed"/>
              <w:rPr>
                <w:lang w:val="en-AU"/>
              </w:rPr>
            </w:pPr>
            <w:r w:rsidRPr="00145853">
              <w:rPr>
                <w:lang w:val="en-AU"/>
              </w:rPr>
              <w:t xml:space="preserve">Teacher asks students to define what ‘culture’ and ‘diversity’ mean. </w:t>
            </w:r>
            <w:r w:rsidR="003177D2" w:rsidRPr="00145853">
              <w:rPr>
                <w:lang w:val="en-AU"/>
              </w:rPr>
              <w:t>S</w:t>
            </w:r>
            <w:r w:rsidRPr="00145853">
              <w:rPr>
                <w:lang w:val="en-AU"/>
              </w:rPr>
              <w:t>tudents evaluate the</w:t>
            </w:r>
            <w:r w:rsidR="003177D2" w:rsidRPr="00145853">
              <w:rPr>
                <w:lang w:val="en-AU"/>
              </w:rPr>
              <w:t>ir own</w:t>
            </w:r>
            <w:r w:rsidRPr="00145853">
              <w:rPr>
                <w:lang w:val="en-AU"/>
              </w:rPr>
              <w:t xml:space="preserve"> definitions by exploring what it means to be ‘culturally diverse’ and how their school community could be strengthened by its cultural diversity</w:t>
            </w:r>
            <w:r w:rsidR="00103E1C" w:rsidRPr="00145853">
              <w:rPr>
                <w:lang w:val="en-AU"/>
              </w:rPr>
              <w:t>.</w:t>
            </w:r>
          </w:p>
        </w:tc>
        <w:tc>
          <w:tcPr>
            <w:tcW w:w="5216" w:type="dxa"/>
          </w:tcPr>
          <w:p w14:paraId="092660B4" w14:textId="71E372DB" w:rsidR="00457521" w:rsidRPr="00145853" w:rsidRDefault="004C0964" w:rsidP="00B51FA6">
            <w:pPr>
              <w:pStyle w:val="VCAAtablecondensed"/>
              <w:rPr>
                <w:lang w:val="en-AU"/>
              </w:rPr>
            </w:pPr>
            <w:r w:rsidRPr="00145853">
              <w:rPr>
                <w:lang w:val="en-AU"/>
              </w:rPr>
              <w:t xml:space="preserve">Activity runs unchanged. </w:t>
            </w:r>
          </w:p>
        </w:tc>
      </w:tr>
      <w:tr w:rsidR="00254888" w:rsidRPr="00145853" w14:paraId="47C09381" w14:textId="77777777" w:rsidTr="00145853">
        <w:tc>
          <w:tcPr>
            <w:tcW w:w="4673" w:type="dxa"/>
          </w:tcPr>
          <w:p w14:paraId="18E374B4" w14:textId="53F39EBC" w:rsidR="00BE12FE" w:rsidRPr="00145853" w:rsidRDefault="00DF06A1" w:rsidP="00551388">
            <w:pPr>
              <w:pStyle w:val="VCAAtablecondensed"/>
              <w:rPr>
                <w:lang w:val="en-AU"/>
              </w:rPr>
            </w:pPr>
            <w:r w:rsidRPr="00145853">
              <w:rPr>
                <w:lang w:val="en-AU"/>
              </w:rPr>
              <w:t>Students undertake a cultural survey of their community, either by researching their area and identifying the different cultural groups that are represented, or by analysing the cultural groups present in their school.</w:t>
            </w:r>
          </w:p>
          <w:p w14:paraId="123E135F" w14:textId="2D767B1B" w:rsidR="0084345A" w:rsidRPr="00145853" w:rsidRDefault="0084345A" w:rsidP="00551388">
            <w:pPr>
              <w:pStyle w:val="VCAAtablecondensed"/>
              <w:rPr>
                <w:lang w:val="en-AU"/>
              </w:rPr>
            </w:pPr>
            <w:r w:rsidRPr="00145853">
              <w:rPr>
                <w:lang w:val="en-AU"/>
              </w:rPr>
              <w:t>Teacher asks: ‘Why is</w:t>
            </w:r>
            <w:r w:rsidR="009F0FD6">
              <w:rPr>
                <w:lang w:val="en-AU"/>
              </w:rPr>
              <w:t xml:space="preserve"> it</w:t>
            </w:r>
            <w:r w:rsidRPr="00145853">
              <w:rPr>
                <w:lang w:val="en-AU"/>
              </w:rPr>
              <w:t xml:space="preserve"> important to collect</w:t>
            </w:r>
            <w:r w:rsidR="00145853">
              <w:rPr>
                <w:lang w:val="en-AU"/>
              </w:rPr>
              <w:t xml:space="preserve"> demographic</w:t>
            </w:r>
            <w:r w:rsidRPr="00145853">
              <w:rPr>
                <w:lang w:val="en-AU"/>
              </w:rPr>
              <w:t xml:space="preserve"> data on cultural diversity?’</w:t>
            </w:r>
          </w:p>
        </w:tc>
        <w:tc>
          <w:tcPr>
            <w:tcW w:w="5216" w:type="dxa"/>
          </w:tcPr>
          <w:p w14:paraId="7279DA82" w14:textId="580E57E9" w:rsidR="00072AF1" w:rsidRPr="00145853" w:rsidRDefault="0084345A" w:rsidP="00E24BF3">
            <w:pPr>
              <w:pStyle w:val="VCAAtablecondensed"/>
              <w:rPr>
                <w:color w:val="auto"/>
                <w:lang w:val="en-AU"/>
              </w:rPr>
            </w:pPr>
            <w:r w:rsidRPr="00145853">
              <w:rPr>
                <w:lang w:val="en-AU"/>
              </w:rPr>
              <w:t>Teacher expands consideration o</w:t>
            </w:r>
            <w:r w:rsidR="009F0FD6">
              <w:rPr>
                <w:lang w:val="en-AU"/>
              </w:rPr>
              <w:t>f</w:t>
            </w:r>
            <w:r w:rsidRPr="00145853">
              <w:rPr>
                <w:lang w:val="en-AU"/>
              </w:rPr>
              <w:t xml:space="preserve"> the importance of collecting demographic data to explore a connection to careers. Teacher asks, ‘</w:t>
            </w:r>
            <w:r w:rsidR="00374155" w:rsidRPr="00145853">
              <w:rPr>
                <w:lang w:val="en-AU"/>
              </w:rPr>
              <w:t xml:space="preserve">Where else might you expect to find people collecting demographic data? </w:t>
            </w:r>
            <w:r w:rsidR="00E24BF3" w:rsidRPr="00145853">
              <w:rPr>
                <w:lang w:val="en-AU"/>
              </w:rPr>
              <w:t>What</w:t>
            </w:r>
            <w:r w:rsidR="00374155" w:rsidRPr="00145853">
              <w:rPr>
                <w:lang w:val="en-AU"/>
              </w:rPr>
              <w:t xml:space="preserve"> might these places </w:t>
            </w:r>
            <w:r w:rsidR="00E24BF3" w:rsidRPr="00145853">
              <w:rPr>
                <w:lang w:val="en-AU"/>
              </w:rPr>
              <w:t>do with the data that they have collected?</w:t>
            </w:r>
            <w:r w:rsidRPr="00145853">
              <w:rPr>
                <w:lang w:val="en-AU"/>
              </w:rPr>
              <w:t>’.</w:t>
            </w:r>
            <w:r w:rsidR="00374155" w:rsidRPr="00145853">
              <w:rPr>
                <w:lang w:val="en-AU"/>
              </w:rPr>
              <w:t xml:space="preserve"> </w:t>
            </w:r>
            <w:r w:rsidR="005B5A8C" w:rsidRPr="00145853">
              <w:rPr>
                <w:lang w:val="en-AU"/>
              </w:rPr>
              <w:t xml:space="preserve">For example, local councils </w:t>
            </w:r>
            <w:r w:rsidR="00A03194" w:rsidRPr="00145853">
              <w:rPr>
                <w:lang w:val="en-AU"/>
              </w:rPr>
              <w:t xml:space="preserve">might </w:t>
            </w:r>
            <w:r w:rsidR="005B5A8C" w:rsidRPr="00145853">
              <w:rPr>
                <w:lang w:val="en-AU"/>
              </w:rPr>
              <w:t>collect demographic data</w:t>
            </w:r>
            <w:r w:rsidRPr="00145853">
              <w:rPr>
                <w:lang w:val="en-AU"/>
              </w:rPr>
              <w:t xml:space="preserve"> to </w:t>
            </w:r>
            <w:r w:rsidR="00A03194" w:rsidRPr="00145853">
              <w:rPr>
                <w:lang w:val="en-AU"/>
              </w:rPr>
              <w:t>make informed decisions ab</w:t>
            </w:r>
            <w:r w:rsidR="00361293" w:rsidRPr="00145853">
              <w:rPr>
                <w:lang w:val="en-AU"/>
              </w:rPr>
              <w:t>out what their community needs</w:t>
            </w:r>
            <w:r w:rsidRPr="00145853">
              <w:rPr>
                <w:lang w:val="en-AU"/>
              </w:rPr>
              <w:t>.</w:t>
            </w:r>
            <w:r w:rsidR="00361293" w:rsidRPr="00145853">
              <w:rPr>
                <w:lang w:val="en-AU"/>
              </w:rPr>
              <w:t xml:space="preserve"> </w:t>
            </w:r>
            <w:r w:rsidRPr="00145853">
              <w:rPr>
                <w:lang w:val="en-AU"/>
              </w:rPr>
              <w:t>R</w:t>
            </w:r>
            <w:r w:rsidR="00A03194" w:rsidRPr="00145853">
              <w:rPr>
                <w:lang w:val="en-AU"/>
              </w:rPr>
              <w:t>etailers, festival organisers, health centres etc. also benefit from this data.</w:t>
            </w:r>
            <w:r w:rsidR="00097600" w:rsidRPr="00145853">
              <w:rPr>
                <w:lang w:val="en-AU"/>
              </w:rPr>
              <w:t xml:space="preserve"> Teacher leads a discussion on how different workplaces mentioned could use demographic data.</w:t>
            </w:r>
          </w:p>
        </w:tc>
      </w:tr>
      <w:tr w:rsidR="00254888" w:rsidRPr="00145853" w14:paraId="3F7C9F0C" w14:textId="77777777" w:rsidTr="00145853">
        <w:tc>
          <w:tcPr>
            <w:tcW w:w="4673" w:type="dxa"/>
            <w:tcBorders>
              <w:bottom w:val="single" w:sz="4" w:space="0" w:color="auto"/>
            </w:tcBorders>
          </w:tcPr>
          <w:p w14:paraId="446FB8DB" w14:textId="13E9455A" w:rsidR="00254888" w:rsidRPr="00145853" w:rsidRDefault="00AD04A5" w:rsidP="00531D1F">
            <w:pPr>
              <w:pStyle w:val="VCAAtablecondensed"/>
              <w:rPr>
                <w:lang w:val="en-AU"/>
              </w:rPr>
            </w:pPr>
            <w:r w:rsidRPr="00145853">
              <w:rPr>
                <w:lang w:val="en-AU"/>
              </w:rPr>
              <w:t xml:space="preserve">With teacher support, students organise a community event where different community groups or representatives are welcomed to the school to share their cultural customs. For example, Greek </w:t>
            </w:r>
            <w:r w:rsidR="00490E9C" w:rsidRPr="00145853">
              <w:rPr>
                <w:lang w:val="en-AU"/>
              </w:rPr>
              <w:t>dancing</w:t>
            </w:r>
            <w:r w:rsidRPr="00145853">
              <w:rPr>
                <w:lang w:val="en-AU"/>
              </w:rPr>
              <w:t xml:space="preserve">, Chinese </w:t>
            </w:r>
            <w:r w:rsidR="00490E9C" w:rsidRPr="00145853">
              <w:rPr>
                <w:lang w:val="en-AU"/>
              </w:rPr>
              <w:t xml:space="preserve">lantern making </w:t>
            </w:r>
            <w:r w:rsidRPr="00145853">
              <w:rPr>
                <w:lang w:val="en-AU"/>
              </w:rPr>
              <w:t xml:space="preserve">and Indigenous </w:t>
            </w:r>
            <w:r w:rsidR="00490E9C" w:rsidRPr="00145853">
              <w:rPr>
                <w:lang w:val="en-AU"/>
              </w:rPr>
              <w:t xml:space="preserve">artwork </w:t>
            </w:r>
            <w:r w:rsidRPr="00145853">
              <w:rPr>
                <w:lang w:val="en-AU"/>
              </w:rPr>
              <w:t xml:space="preserve">could be offered for students to experience </w:t>
            </w:r>
            <w:r w:rsidR="00490E9C" w:rsidRPr="00145853">
              <w:rPr>
                <w:lang w:val="en-AU"/>
              </w:rPr>
              <w:t>cultural diversity in their local community.</w:t>
            </w:r>
          </w:p>
        </w:tc>
        <w:tc>
          <w:tcPr>
            <w:tcW w:w="5216" w:type="dxa"/>
            <w:tcBorders>
              <w:bottom w:val="single" w:sz="4" w:space="0" w:color="auto"/>
            </w:tcBorders>
          </w:tcPr>
          <w:p w14:paraId="0D137BAF" w14:textId="7C35B212" w:rsidR="00360A30" w:rsidRPr="00145853" w:rsidRDefault="00DF06A1" w:rsidP="00AD5DBE">
            <w:pPr>
              <w:pStyle w:val="VCAAtablecondensed"/>
              <w:rPr>
                <w:color w:val="auto"/>
                <w:lang w:val="en-AU"/>
              </w:rPr>
            </w:pPr>
            <w:r w:rsidRPr="00145853">
              <w:rPr>
                <w:lang w:val="en-AU"/>
              </w:rPr>
              <w:t xml:space="preserve">The teacher drives a discussion </w:t>
            </w:r>
            <w:r w:rsidR="005F2323">
              <w:rPr>
                <w:lang w:val="en-AU"/>
              </w:rPr>
              <w:t>to lead</w:t>
            </w:r>
            <w:r w:rsidRPr="00145853">
              <w:rPr>
                <w:lang w:val="en-AU"/>
              </w:rPr>
              <w:t xml:space="preserve"> s</w:t>
            </w:r>
            <w:r w:rsidR="00360A30" w:rsidRPr="00145853">
              <w:rPr>
                <w:lang w:val="en-AU"/>
              </w:rPr>
              <w:t xml:space="preserve">tudents </w:t>
            </w:r>
            <w:r w:rsidRPr="00145853">
              <w:rPr>
                <w:lang w:val="en-AU"/>
              </w:rPr>
              <w:t>to</w:t>
            </w:r>
            <w:r w:rsidR="00360A30" w:rsidRPr="00145853">
              <w:rPr>
                <w:lang w:val="en-AU"/>
              </w:rPr>
              <w:t xml:space="preserve"> see community events as a culmination of </w:t>
            </w:r>
            <w:r w:rsidR="00B25D83" w:rsidRPr="00145853">
              <w:rPr>
                <w:lang w:val="en-AU"/>
              </w:rPr>
              <w:t xml:space="preserve">the work of a </w:t>
            </w:r>
            <w:r w:rsidR="00360A30" w:rsidRPr="00145853">
              <w:rPr>
                <w:lang w:val="en-AU"/>
              </w:rPr>
              <w:t>diverse range of workers and the skills they used to design and facilitate the event for the community.</w:t>
            </w:r>
            <w:r w:rsidRPr="00145853">
              <w:rPr>
                <w:lang w:val="en-AU"/>
              </w:rPr>
              <w:t xml:space="preserve"> </w:t>
            </w:r>
            <w:r w:rsidR="00145853">
              <w:rPr>
                <w:lang w:val="en-AU"/>
              </w:rPr>
              <w:t>In groups, the students pick skills identified in the discussion to analyse further, and show how they contributed to the event and how those skills would transfer to roles in the workplace</w:t>
            </w:r>
            <w:r>
              <w:rPr>
                <w:lang w:val="en-AU"/>
              </w:rPr>
              <w:t>.</w:t>
            </w:r>
          </w:p>
        </w:tc>
      </w:tr>
      <w:tr w:rsidR="009C0EB7" w:rsidRPr="00145853" w14:paraId="32472544" w14:textId="77777777" w:rsidTr="00145853">
        <w:tc>
          <w:tcPr>
            <w:tcW w:w="4673" w:type="dxa"/>
            <w:tcBorders>
              <w:bottom w:val="single" w:sz="4" w:space="0" w:color="auto"/>
            </w:tcBorders>
          </w:tcPr>
          <w:p w14:paraId="5AD810C2" w14:textId="31A3C0D6" w:rsidR="009C0EB7" w:rsidRPr="00145853" w:rsidRDefault="00490E9C" w:rsidP="009C0EB7">
            <w:pPr>
              <w:pStyle w:val="VCAAtablecondensed"/>
              <w:rPr>
                <w:lang w:val="en-AU"/>
              </w:rPr>
            </w:pPr>
            <w:r w:rsidRPr="00145853">
              <w:rPr>
                <w:lang w:val="en-AU"/>
              </w:rPr>
              <w:lastRenderedPageBreak/>
              <w:t>S</w:t>
            </w:r>
            <w:r w:rsidR="009C0EB7" w:rsidRPr="00145853">
              <w:rPr>
                <w:lang w:val="en-AU"/>
              </w:rPr>
              <w:t xml:space="preserve">tudents reflect on the positives and challenges they faced when they participated in the intercultural experience. Teacher can then prompt them to think about how the representatives from each group felt and some of the positives and challenges that might have come out of the experience for them. </w:t>
            </w:r>
          </w:p>
          <w:p w14:paraId="0AF99194" w14:textId="69DD6226" w:rsidR="009C0EB7" w:rsidRPr="00145853" w:rsidRDefault="009C0EB7" w:rsidP="009C0EB7">
            <w:pPr>
              <w:pStyle w:val="VCAAtablecondensed"/>
              <w:rPr>
                <w:color w:val="auto"/>
                <w:lang w:val="en-AU"/>
              </w:rPr>
            </w:pPr>
            <w:r w:rsidRPr="00145853">
              <w:rPr>
                <w:lang w:val="en-AU"/>
              </w:rPr>
              <w:t xml:space="preserve">If a cultural event cannot be organised, students can reflect on what goes into a school or community event such as Reconciliation Week or a school fete, and the </w:t>
            </w:r>
            <w:r w:rsidR="00145853">
              <w:rPr>
                <w:lang w:val="en-AU"/>
              </w:rPr>
              <w:t xml:space="preserve">necessary </w:t>
            </w:r>
            <w:r w:rsidRPr="00145853">
              <w:rPr>
                <w:lang w:val="en-AU"/>
              </w:rPr>
              <w:t>skills and knowledge to ensure the event is organised sensitively and successfully</w:t>
            </w:r>
            <w:r w:rsidR="00490E9C" w:rsidRPr="00145853">
              <w:rPr>
                <w:lang w:val="en-AU"/>
              </w:rPr>
              <w:t>. Students</w:t>
            </w:r>
            <w:r w:rsidRPr="00145853">
              <w:rPr>
                <w:lang w:val="en-AU"/>
              </w:rPr>
              <w:t xml:space="preserve"> focus on the intercultural skills that </w:t>
            </w:r>
            <w:r w:rsidR="00490E9C" w:rsidRPr="00145853">
              <w:rPr>
                <w:lang w:val="en-AU"/>
              </w:rPr>
              <w:t xml:space="preserve">can be used </w:t>
            </w:r>
            <w:r w:rsidRPr="00145853">
              <w:rPr>
                <w:lang w:val="en-AU"/>
              </w:rPr>
              <w:t xml:space="preserve">to make </w:t>
            </w:r>
            <w:r w:rsidR="00490E9C" w:rsidRPr="00145853">
              <w:rPr>
                <w:lang w:val="en-AU"/>
              </w:rPr>
              <w:t xml:space="preserve">an </w:t>
            </w:r>
            <w:r w:rsidRPr="00145853">
              <w:rPr>
                <w:lang w:val="en-AU"/>
              </w:rPr>
              <w:t>event a success.</w:t>
            </w:r>
          </w:p>
        </w:tc>
        <w:tc>
          <w:tcPr>
            <w:tcW w:w="5216" w:type="dxa"/>
            <w:tcBorders>
              <w:bottom w:val="single" w:sz="4" w:space="0" w:color="auto"/>
            </w:tcBorders>
          </w:tcPr>
          <w:p w14:paraId="038425BC" w14:textId="419177A8" w:rsidR="00AC04BC" w:rsidRPr="00145853" w:rsidRDefault="00B25D83" w:rsidP="009C0EB7">
            <w:pPr>
              <w:pStyle w:val="VCAAtablecondensed"/>
              <w:rPr>
                <w:lang w:val="en-AU"/>
              </w:rPr>
            </w:pPr>
            <w:r w:rsidRPr="00145853">
              <w:rPr>
                <w:lang w:val="en-AU"/>
              </w:rPr>
              <w:t>T</w:t>
            </w:r>
            <w:r w:rsidR="00AC04BC" w:rsidRPr="00145853">
              <w:rPr>
                <w:lang w:val="en-AU"/>
              </w:rPr>
              <w:t xml:space="preserve">eacher assists </w:t>
            </w:r>
            <w:r w:rsidRPr="00145853">
              <w:rPr>
                <w:lang w:val="en-AU"/>
              </w:rPr>
              <w:t xml:space="preserve">students </w:t>
            </w:r>
            <w:r w:rsidR="00AC04BC" w:rsidRPr="00145853">
              <w:rPr>
                <w:lang w:val="en-AU"/>
              </w:rPr>
              <w:t>to explore how different community events are shaped by the demographic and cultural diversities present in those communities and evaluate the need for organisations to consider demographics when organising events.</w:t>
            </w:r>
          </w:p>
          <w:p w14:paraId="235295BC" w14:textId="749C3B29" w:rsidR="00AC04BC" w:rsidRPr="00145853" w:rsidRDefault="00AC04BC" w:rsidP="00CB1918">
            <w:pPr>
              <w:pStyle w:val="VCAAtablecondensed"/>
              <w:rPr>
                <w:color w:val="auto"/>
                <w:lang w:val="en-AU"/>
              </w:rPr>
            </w:pPr>
            <w:r w:rsidRPr="00145853">
              <w:rPr>
                <w:lang w:val="en-AU"/>
              </w:rPr>
              <w:t>Teacher then assists students to explore other career examples where cultural diversity and intercultural understanding are essential</w:t>
            </w:r>
            <w:r w:rsidR="00CB1918" w:rsidRPr="00145853">
              <w:rPr>
                <w:lang w:val="en-AU"/>
              </w:rPr>
              <w:t xml:space="preserve">. For example: </w:t>
            </w:r>
            <w:r w:rsidR="00B25D83" w:rsidRPr="00145853">
              <w:rPr>
                <w:lang w:val="en-AU"/>
              </w:rPr>
              <w:t xml:space="preserve">the </w:t>
            </w:r>
            <w:r w:rsidR="00145853">
              <w:rPr>
                <w:lang w:val="en-AU"/>
              </w:rPr>
              <w:t>Australian Football League (</w:t>
            </w:r>
            <w:r w:rsidR="00CB1918" w:rsidRPr="00145853">
              <w:rPr>
                <w:lang w:val="en-AU"/>
              </w:rPr>
              <w:t>AFL</w:t>
            </w:r>
            <w:r w:rsidR="00145853">
              <w:rPr>
                <w:lang w:val="en-AU"/>
              </w:rPr>
              <w:t>)</w:t>
            </w:r>
            <w:r w:rsidR="00CB1918" w:rsidRPr="00145853">
              <w:rPr>
                <w:lang w:val="en-AU"/>
              </w:rPr>
              <w:t xml:space="preserve"> and their Indigenous </w:t>
            </w:r>
            <w:r w:rsidR="00FF554B" w:rsidRPr="00145853">
              <w:rPr>
                <w:lang w:val="en-AU"/>
              </w:rPr>
              <w:t>partnership</w:t>
            </w:r>
            <w:r w:rsidR="00CB1918" w:rsidRPr="00145853">
              <w:rPr>
                <w:lang w:val="en-AU"/>
              </w:rPr>
              <w:t>;</w:t>
            </w:r>
            <w:r w:rsidR="00514E53" w:rsidRPr="00145853">
              <w:rPr>
                <w:lang w:val="en-AU"/>
              </w:rPr>
              <w:t xml:space="preserve"> </w:t>
            </w:r>
            <w:r w:rsidR="00FF554B" w:rsidRPr="00145853">
              <w:rPr>
                <w:lang w:val="en-AU"/>
              </w:rPr>
              <w:t xml:space="preserve">astronomy research </w:t>
            </w:r>
            <w:r w:rsidR="00514E53" w:rsidRPr="00145853">
              <w:rPr>
                <w:lang w:val="en-AU"/>
              </w:rPr>
              <w:t xml:space="preserve">and Australian Indigenous Astronomy; </w:t>
            </w:r>
            <w:r w:rsidR="00541F27" w:rsidRPr="00145853">
              <w:rPr>
                <w:lang w:val="en-AU"/>
              </w:rPr>
              <w:t>Victorian Government and the Melbourne Pasifika Festival etc.</w:t>
            </w:r>
          </w:p>
        </w:tc>
      </w:tr>
      <w:tr w:rsidR="009C0EB7" w:rsidRPr="00145853" w14:paraId="63793E0F" w14:textId="77777777" w:rsidTr="00145853">
        <w:tc>
          <w:tcPr>
            <w:tcW w:w="4673" w:type="dxa"/>
          </w:tcPr>
          <w:p w14:paraId="7674DB26" w14:textId="7017FC2F" w:rsidR="009C0EB7" w:rsidRPr="00145853" w:rsidRDefault="00490E9C" w:rsidP="009C0EB7">
            <w:pPr>
              <w:pStyle w:val="VCAAtablecondensed"/>
              <w:rPr>
                <w:lang w:val="en-AU"/>
              </w:rPr>
            </w:pPr>
            <w:r w:rsidRPr="00145853">
              <w:rPr>
                <w:lang w:val="en-AU"/>
              </w:rPr>
              <w:t>S</w:t>
            </w:r>
            <w:r w:rsidR="009C0EB7" w:rsidRPr="00145853">
              <w:rPr>
                <w:lang w:val="en-AU"/>
              </w:rPr>
              <w:t>tudents reflect on the challenges that were faced when engaging with different cultural groups and explore the benefits that came out of the event.</w:t>
            </w:r>
          </w:p>
        </w:tc>
        <w:tc>
          <w:tcPr>
            <w:tcW w:w="5216" w:type="dxa"/>
          </w:tcPr>
          <w:p w14:paraId="7C083F81" w14:textId="7C81D048" w:rsidR="009C0EB7" w:rsidRPr="00145853" w:rsidRDefault="007367A6" w:rsidP="003177D2">
            <w:pPr>
              <w:pStyle w:val="VCAAtablecondensed"/>
              <w:rPr>
                <w:color w:val="auto"/>
                <w:lang w:val="en-AU"/>
              </w:rPr>
            </w:pPr>
            <w:r w:rsidRPr="00145853">
              <w:rPr>
                <w:lang w:val="en-AU"/>
              </w:rPr>
              <w:t>S</w:t>
            </w:r>
            <w:r w:rsidR="00CA2F00" w:rsidRPr="00145853">
              <w:rPr>
                <w:lang w:val="en-AU"/>
              </w:rPr>
              <w:t xml:space="preserve">tudents </w:t>
            </w:r>
            <w:r w:rsidR="003177D2" w:rsidRPr="00145853">
              <w:rPr>
                <w:lang w:val="en-AU"/>
              </w:rPr>
              <w:t xml:space="preserve">are encouraged to </w:t>
            </w:r>
            <w:r w:rsidR="00CA2F00" w:rsidRPr="00145853">
              <w:rPr>
                <w:lang w:val="en-AU"/>
              </w:rPr>
              <w:t xml:space="preserve">identify and reflect on the intercultural skills that are necessary in the creation of successful and culturally inclusive </w:t>
            </w:r>
            <w:r w:rsidR="00E47458" w:rsidRPr="00145853">
              <w:rPr>
                <w:lang w:val="en-AU"/>
              </w:rPr>
              <w:t xml:space="preserve">events and </w:t>
            </w:r>
            <w:r w:rsidR="00150F97" w:rsidRPr="00145853">
              <w:rPr>
                <w:lang w:val="en-AU"/>
              </w:rPr>
              <w:t>experiences</w:t>
            </w:r>
            <w:r w:rsidR="00E47458" w:rsidRPr="00145853">
              <w:rPr>
                <w:lang w:val="en-AU"/>
              </w:rPr>
              <w:t xml:space="preserve">, and how these </w:t>
            </w:r>
            <w:r w:rsidR="00996326" w:rsidRPr="00145853">
              <w:rPr>
                <w:lang w:val="en-AU"/>
              </w:rPr>
              <w:t>relate to</w:t>
            </w:r>
            <w:r w:rsidR="00E47458" w:rsidRPr="00145853">
              <w:rPr>
                <w:lang w:val="en-AU"/>
              </w:rPr>
              <w:t xml:space="preserve"> various career paths. </w:t>
            </w:r>
          </w:p>
        </w:tc>
      </w:tr>
    </w:tbl>
    <w:p w14:paraId="3F52BE49" w14:textId="0D4D11B4" w:rsidR="00DB533D" w:rsidRPr="00145853" w:rsidRDefault="00B51FA6" w:rsidP="004F6DE0">
      <w:pPr>
        <w:pStyle w:val="VCAAHeading4"/>
        <w:rPr>
          <w:lang w:val="en-AU"/>
        </w:rPr>
      </w:pPr>
      <w:r w:rsidRPr="00145853">
        <w:rPr>
          <w:lang w:val="en-AU"/>
        </w:rPr>
        <w:t>C</w:t>
      </w:r>
      <w:r w:rsidR="0038622E" w:rsidRPr="00145853">
        <w:rPr>
          <w:lang w:val="en-AU"/>
        </w:rPr>
        <w:t>onsiderations</w:t>
      </w:r>
      <w:r w:rsidR="00255852" w:rsidRPr="00145853">
        <w:rPr>
          <w:lang w:val="en-AU"/>
        </w:rPr>
        <w:t xml:space="preserve"> when </w:t>
      </w:r>
      <w:r w:rsidR="001A39A9" w:rsidRPr="00145853">
        <w:rPr>
          <w:lang w:val="en-AU"/>
        </w:rPr>
        <w:t xml:space="preserve">adapting the </w:t>
      </w:r>
      <w:r w:rsidR="001926FE" w:rsidRPr="00145853">
        <w:rPr>
          <w:lang w:val="en-AU"/>
        </w:rPr>
        <w:t>learning</w:t>
      </w:r>
      <w:r w:rsidR="00255852" w:rsidRPr="00145853">
        <w:rPr>
          <w:lang w:val="en-AU"/>
        </w:rPr>
        <w:t xml:space="preserve"> activity</w:t>
      </w:r>
    </w:p>
    <w:p w14:paraId="4C620E21" w14:textId="105DAD5E" w:rsidR="00C946A7" w:rsidRPr="00145853" w:rsidRDefault="00C946A7" w:rsidP="000B50DD">
      <w:pPr>
        <w:pStyle w:val="VCAAbullet"/>
      </w:pPr>
      <w:r w:rsidRPr="00145853">
        <w:t xml:space="preserve">Teachers will need to consider their demographic context before </w:t>
      </w:r>
      <w:r w:rsidR="00250270" w:rsidRPr="00145853">
        <w:t>running the existing activity</w:t>
      </w:r>
      <w:r w:rsidRPr="00145853">
        <w:t xml:space="preserve">. </w:t>
      </w:r>
    </w:p>
    <w:p w14:paraId="63D076EB" w14:textId="02E963F9" w:rsidR="00C946A7" w:rsidRPr="00145853" w:rsidRDefault="005F2323">
      <w:pPr>
        <w:pStyle w:val="VCAAbullet"/>
      </w:pPr>
      <w:r>
        <w:t>Designing and facilitating t</w:t>
      </w:r>
      <w:r w:rsidR="00C946A7" w:rsidRPr="00145853">
        <w:t xml:space="preserve">his event is itself reliant upon strong </w:t>
      </w:r>
      <w:r w:rsidR="00C946A7" w:rsidRPr="00145853">
        <w:rPr>
          <w:bCs/>
        </w:rPr>
        <w:t>intercultural capabilities</w:t>
      </w:r>
      <w:r>
        <w:rPr>
          <w:bCs/>
        </w:rPr>
        <w:t>,</w:t>
      </w:r>
      <w:r w:rsidR="00C946A7" w:rsidRPr="00145853">
        <w:rPr>
          <w:b/>
        </w:rPr>
        <w:t xml:space="preserve"> </w:t>
      </w:r>
      <w:r w:rsidR="00C946A7" w:rsidRPr="00145853">
        <w:t xml:space="preserve">and </w:t>
      </w:r>
      <w:r>
        <w:t>promoting</w:t>
      </w:r>
      <w:r w:rsidR="00C946A7" w:rsidRPr="00145853">
        <w:t xml:space="preserve"> cultural diversity in the community will be reliant upon </w:t>
      </w:r>
      <w:r w:rsidR="00C946A7" w:rsidRPr="00145853">
        <w:rPr>
          <w:bCs/>
        </w:rPr>
        <w:t>appl</w:t>
      </w:r>
      <w:r w:rsidR="00145853">
        <w:rPr>
          <w:bCs/>
        </w:rPr>
        <w:t>ying</w:t>
      </w:r>
      <w:r w:rsidR="00C946A7" w:rsidRPr="00145853">
        <w:t xml:space="preserve"> these </w:t>
      </w:r>
      <w:r w:rsidR="002E5DDA" w:rsidRPr="00145853">
        <w:t>capabilities</w:t>
      </w:r>
      <w:r w:rsidR="00C946A7" w:rsidRPr="00145853">
        <w:t>.</w:t>
      </w:r>
      <w:r w:rsidR="0052009A" w:rsidRPr="00145853">
        <w:t xml:space="preserve"> The first part of this activity is just as important as the reflection as it builds </w:t>
      </w:r>
      <w:r>
        <w:t>these necessary capabilities</w:t>
      </w:r>
      <w:r w:rsidR="0052009A" w:rsidRPr="00145853">
        <w:t>.</w:t>
      </w:r>
    </w:p>
    <w:p w14:paraId="4F6F090F" w14:textId="0612558A" w:rsidR="00C946A7" w:rsidRPr="00145853" w:rsidRDefault="00C946A7">
      <w:pPr>
        <w:pStyle w:val="VCAAbullet"/>
      </w:pPr>
      <w:r w:rsidRPr="00145853">
        <w:t xml:space="preserve">A multitude of interdisciplinary links can be made </w:t>
      </w:r>
      <w:r w:rsidR="00A422D3" w:rsidRPr="00145853">
        <w:t>in the design, organisation and facilitation of an Intercultural event such as this</w:t>
      </w:r>
      <w:r w:rsidRPr="00145853">
        <w:t>.</w:t>
      </w:r>
    </w:p>
    <w:p w14:paraId="5B6532E0" w14:textId="0756D75B" w:rsidR="00F01253" w:rsidRPr="00145853" w:rsidRDefault="00905484" w:rsidP="004F6DE0">
      <w:pPr>
        <w:pStyle w:val="VCAAHeading3"/>
        <w:rPr>
          <w:lang w:val="en-AU"/>
        </w:rPr>
      </w:pPr>
      <w:r w:rsidRPr="00145853">
        <w:rPr>
          <w:lang w:val="en-AU"/>
        </w:rPr>
        <w:t>B</w:t>
      </w:r>
      <w:r w:rsidR="0038622E" w:rsidRPr="00145853">
        <w:rPr>
          <w:lang w:val="en-AU"/>
        </w:rPr>
        <w:t>enefit</w:t>
      </w:r>
      <w:r w:rsidR="00425FD1" w:rsidRPr="00145853">
        <w:rPr>
          <w:lang w:val="en-AU"/>
        </w:rPr>
        <w:t>s for</w:t>
      </w:r>
      <w:r w:rsidR="0038622E" w:rsidRPr="00145853">
        <w:rPr>
          <w:lang w:val="en-AU"/>
        </w:rPr>
        <w:t xml:space="preserve"> </w:t>
      </w:r>
      <w:r w:rsidR="007E7D1F" w:rsidRPr="00145853">
        <w:rPr>
          <w:lang w:val="en-AU"/>
        </w:rPr>
        <w:t>students</w:t>
      </w:r>
    </w:p>
    <w:p w14:paraId="6841A492" w14:textId="7DF21310" w:rsidR="00C946A7" w:rsidRPr="00145853" w:rsidRDefault="00DF06A1" w:rsidP="00C946A7">
      <w:pPr>
        <w:pStyle w:val="VCAAbody"/>
        <w:rPr>
          <w:lang w:val="en-AU"/>
        </w:rPr>
      </w:pPr>
      <w:r w:rsidRPr="00DF06A1">
        <w:rPr>
          <w:lang w:val="en-AU"/>
        </w:rPr>
        <w:t>Know yourself – self-development:</w:t>
      </w:r>
    </w:p>
    <w:p w14:paraId="51D9BC4A" w14:textId="1D0C9EBA" w:rsidR="00C946A7" w:rsidRPr="00145853" w:rsidRDefault="00074980" w:rsidP="000B50DD">
      <w:pPr>
        <w:pStyle w:val="VCAAbullet"/>
      </w:pPr>
      <w:r w:rsidRPr="00145853">
        <w:t xml:space="preserve">Students </w:t>
      </w:r>
      <w:r w:rsidR="00502B47" w:rsidRPr="00145853">
        <w:t>can</w:t>
      </w:r>
      <w:r w:rsidR="00C946A7" w:rsidRPr="00145853">
        <w:t xml:space="preserve"> develop their ability to work in teams and strengthen their communication skills </w:t>
      </w:r>
      <w:r w:rsidRPr="00145853">
        <w:t>whil</w:t>
      </w:r>
      <w:r w:rsidR="00502B47" w:rsidRPr="00145853">
        <w:t>e</w:t>
      </w:r>
      <w:r w:rsidR="00C946A7" w:rsidRPr="00145853">
        <w:t xml:space="preserve"> positively collaborating in a </w:t>
      </w:r>
      <w:r w:rsidR="00C946A7" w:rsidRPr="00145853">
        <w:rPr>
          <w:bCs/>
        </w:rPr>
        <w:t>culturally diverse setting</w:t>
      </w:r>
      <w:r w:rsidR="00C946A7" w:rsidRPr="00145853">
        <w:t>.</w:t>
      </w:r>
    </w:p>
    <w:p w14:paraId="4997273B" w14:textId="08321453" w:rsidR="00C946A7" w:rsidRPr="00145853" w:rsidRDefault="00C946A7" w:rsidP="004147D4">
      <w:pPr>
        <w:pStyle w:val="VCAAbullet"/>
      </w:pPr>
      <w:r w:rsidRPr="00145853">
        <w:t xml:space="preserve">Students can set aside </w:t>
      </w:r>
      <w:r w:rsidRPr="00145853">
        <w:rPr>
          <w:bCs/>
        </w:rPr>
        <w:t>preconceptions</w:t>
      </w:r>
      <w:r w:rsidRPr="00145853">
        <w:t xml:space="preserve"> by identifying their own </w:t>
      </w:r>
      <w:r w:rsidRPr="00145853">
        <w:rPr>
          <w:bCs/>
        </w:rPr>
        <w:t>cultural biases</w:t>
      </w:r>
      <w:r w:rsidRPr="00145853">
        <w:t xml:space="preserve"> and develop flexibility and adaptability when faced with challenging or unfamiliar experiences.</w:t>
      </w:r>
    </w:p>
    <w:p w14:paraId="46C8DBE6" w14:textId="7FAFA519" w:rsidR="00C946A7" w:rsidRPr="00145853" w:rsidRDefault="00145853" w:rsidP="00145853">
      <w:pPr>
        <w:pStyle w:val="VCAAbody"/>
        <w:rPr>
          <w:lang w:val="en-AU"/>
        </w:rPr>
      </w:pPr>
      <w:r w:rsidRPr="00145853">
        <w:rPr>
          <w:lang w:val="en-AU"/>
        </w:rPr>
        <w:t>Know your world – career exploration:</w:t>
      </w:r>
    </w:p>
    <w:p w14:paraId="22A8DBC0" w14:textId="77777777" w:rsidR="00C946A7" w:rsidRPr="00145853" w:rsidRDefault="00C946A7" w:rsidP="000B50DD">
      <w:pPr>
        <w:pStyle w:val="VCAAbullet"/>
      </w:pPr>
      <w:r w:rsidRPr="00145853">
        <w:t>Students learn how to learn new skills and knowledge in an intercultural context.</w:t>
      </w:r>
    </w:p>
    <w:p w14:paraId="6964A7F4" w14:textId="3C54075B" w:rsidR="00C946A7" w:rsidRDefault="00C946A7" w:rsidP="004147D4">
      <w:pPr>
        <w:pStyle w:val="VCAAbullet"/>
      </w:pPr>
      <w:r w:rsidRPr="00145853">
        <w:t xml:space="preserve">Students understand the relationship between work and society </w:t>
      </w:r>
      <w:r w:rsidR="002D4CAA" w:rsidRPr="00145853">
        <w:t xml:space="preserve">and explore parallels between school events and </w:t>
      </w:r>
      <w:r w:rsidR="003E55B1" w:rsidRPr="00145853">
        <w:t>events organised by community groups and workplaces.</w:t>
      </w:r>
      <w:r w:rsidRPr="00145853">
        <w:t xml:space="preserve"> </w:t>
      </w:r>
    </w:p>
    <w:p w14:paraId="7EAB0DBD" w14:textId="568D05E0" w:rsidR="005F2323" w:rsidRPr="00145853" w:rsidRDefault="005F2323" w:rsidP="005F2323">
      <w:pPr>
        <w:pStyle w:val="VCAAbullet"/>
      </w:pPr>
      <w:r w:rsidRPr="00145853">
        <w:t>Students develop an appreciation for why strong intercultural communication is essential to maintaining productive and professional relationships across a variety of industries.</w:t>
      </w:r>
    </w:p>
    <w:p w14:paraId="558C1900" w14:textId="6A138E0F" w:rsidR="00C946A7" w:rsidRPr="00145853" w:rsidRDefault="000B50DD" w:rsidP="00145853">
      <w:pPr>
        <w:pStyle w:val="VCAAbody"/>
        <w:rPr>
          <w:lang w:val="en-AU"/>
        </w:rPr>
      </w:pPr>
      <w:r w:rsidRPr="00145853">
        <w:rPr>
          <w:lang w:val="en-AU"/>
        </w:rPr>
        <w:t>Manage your future – be proactive</w:t>
      </w:r>
      <w:r w:rsidR="00C946A7" w:rsidRPr="00145853">
        <w:rPr>
          <w:lang w:val="en-AU"/>
        </w:rPr>
        <w:t xml:space="preserve">: </w:t>
      </w:r>
    </w:p>
    <w:p w14:paraId="7AA7FB46" w14:textId="0B3DCAF1" w:rsidR="00C946A7" w:rsidRPr="00145853" w:rsidRDefault="00C946A7" w:rsidP="000B50DD">
      <w:pPr>
        <w:pStyle w:val="VCAAbullet"/>
      </w:pPr>
      <w:r w:rsidRPr="00145853">
        <w:t>Students recognise the need to present and analyse information in different ways to target a variety of different cultural groups.</w:t>
      </w:r>
    </w:p>
    <w:sectPr w:rsidR="00C946A7" w:rsidRPr="00145853"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C9FD9C" w16cid:durableId="231470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145853" w:rsidRDefault="00145853" w:rsidP="00304EA1">
      <w:pPr>
        <w:spacing w:after="0" w:line="240" w:lineRule="auto"/>
      </w:pPr>
      <w:r>
        <w:separator/>
      </w:r>
    </w:p>
  </w:endnote>
  <w:endnote w:type="continuationSeparator" w:id="0">
    <w:p w14:paraId="3270DF94" w14:textId="77777777" w:rsidR="00145853" w:rsidRDefault="0014585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145853" w:rsidRPr="00D06414" w14:paraId="6474FD3B" w14:textId="77777777" w:rsidTr="00BB3BAB">
      <w:trPr>
        <w:trHeight w:val="476"/>
      </w:trPr>
      <w:tc>
        <w:tcPr>
          <w:tcW w:w="1667" w:type="pct"/>
          <w:tcMar>
            <w:left w:w="0" w:type="dxa"/>
            <w:right w:w="0" w:type="dxa"/>
          </w:tcMar>
        </w:tcPr>
        <w:p w14:paraId="0EC15F2D" w14:textId="77777777" w:rsidR="00145853" w:rsidRPr="00D06414" w:rsidRDefault="0014585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145853" w:rsidRPr="00D06414" w:rsidRDefault="0014585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08CD70FD" w:rsidR="00145853" w:rsidRPr="00D06414" w:rsidRDefault="0014585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1F3BCE">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145853" w:rsidRPr="00D06414" w:rsidRDefault="0014585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145853" w:rsidRPr="00D06414" w14:paraId="36A4ADC1" w14:textId="77777777" w:rsidTr="000F5AAF">
      <w:tc>
        <w:tcPr>
          <w:tcW w:w="1459" w:type="pct"/>
          <w:tcMar>
            <w:left w:w="0" w:type="dxa"/>
            <w:right w:w="0" w:type="dxa"/>
          </w:tcMar>
        </w:tcPr>
        <w:p w14:paraId="74DB1FC2" w14:textId="77777777" w:rsidR="00145853" w:rsidRPr="00D06414" w:rsidRDefault="0014585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145853" w:rsidRPr="00D06414" w:rsidRDefault="0014585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145853" w:rsidRPr="00D06414" w:rsidRDefault="0014585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145853" w:rsidRPr="00D06414" w:rsidRDefault="0014585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145853" w:rsidRDefault="00145853" w:rsidP="00304EA1">
      <w:pPr>
        <w:spacing w:after="0" w:line="240" w:lineRule="auto"/>
      </w:pPr>
      <w:r>
        <w:separator/>
      </w:r>
    </w:p>
  </w:footnote>
  <w:footnote w:type="continuationSeparator" w:id="0">
    <w:p w14:paraId="13540A36" w14:textId="77777777" w:rsidR="00145853" w:rsidRDefault="0014585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725112DD" w:rsidR="00145853" w:rsidRDefault="00145853" w:rsidP="0038622E">
    <w:pPr>
      <w:pStyle w:val="VCAAbody"/>
    </w:pPr>
    <w:r>
      <w:t xml:space="preserve">Embedding career education in the Victorian Curriculum F–10 – </w:t>
    </w:r>
    <w:r w:rsidRPr="00941C7B">
      <w:t xml:space="preserve">Intercultural Capability, </w:t>
    </w:r>
    <w:r>
      <w:t>Levels 5 and 6</w:t>
    </w:r>
  </w:p>
  <w:p w14:paraId="0F4EB06A" w14:textId="77777777" w:rsidR="00145853" w:rsidRPr="0038622E" w:rsidRDefault="00145853" w:rsidP="0038622E">
    <w:pPr>
      <w:pStyle w:val="VCAAbody"/>
      <w:rPr>
        <w:color w:val="0F7EB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145853" w:rsidRPr="009370BC" w:rsidRDefault="0014585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6E9D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6014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F884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5CF5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1881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E208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86A9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BAA3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D4B1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B24B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45FA4BE5"/>
    <w:multiLevelType w:val="hybridMultilevel"/>
    <w:tmpl w:val="845AF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422004"/>
    <w:multiLevelType w:val="hybridMultilevel"/>
    <w:tmpl w:val="CF129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62872B6C"/>
    <w:multiLevelType w:val="hybridMultilevel"/>
    <w:tmpl w:val="F7E84410"/>
    <w:lvl w:ilvl="0" w:tplc="715083FA">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3"/>
  </w:num>
  <w:num w:numId="2">
    <w:abstractNumId w:val="19"/>
  </w:num>
  <w:num w:numId="3">
    <w:abstractNumId w:val="15"/>
  </w:num>
  <w:num w:numId="4">
    <w:abstractNumId w:val="11"/>
  </w:num>
  <w:num w:numId="5">
    <w:abstractNumId w:val="22"/>
  </w:num>
  <w:num w:numId="6">
    <w:abstractNumId w:val="14"/>
  </w:num>
  <w:num w:numId="7">
    <w:abstractNumId w:val="12"/>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3"/>
  </w:num>
  <w:num w:numId="21">
    <w:abstractNumId w:val="20"/>
  </w:num>
  <w:num w:numId="22">
    <w:abstractNumId w:val="10"/>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076B1"/>
    <w:rsid w:val="00030F15"/>
    <w:rsid w:val="00033048"/>
    <w:rsid w:val="0005780E"/>
    <w:rsid w:val="00065CC6"/>
    <w:rsid w:val="00072AF1"/>
    <w:rsid w:val="00074980"/>
    <w:rsid w:val="000774E5"/>
    <w:rsid w:val="00086CFC"/>
    <w:rsid w:val="00094037"/>
    <w:rsid w:val="00097600"/>
    <w:rsid w:val="00097F58"/>
    <w:rsid w:val="000A71F7"/>
    <w:rsid w:val="000B152F"/>
    <w:rsid w:val="000B50DD"/>
    <w:rsid w:val="000E281A"/>
    <w:rsid w:val="000F09E4"/>
    <w:rsid w:val="000F16FD"/>
    <w:rsid w:val="000F5AAF"/>
    <w:rsid w:val="00103E1C"/>
    <w:rsid w:val="0012374D"/>
    <w:rsid w:val="00125B6F"/>
    <w:rsid w:val="00143520"/>
    <w:rsid w:val="00145853"/>
    <w:rsid w:val="00150F97"/>
    <w:rsid w:val="00153AD2"/>
    <w:rsid w:val="001779EA"/>
    <w:rsid w:val="00182993"/>
    <w:rsid w:val="001926FE"/>
    <w:rsid w:val="001A39A9"/>
    <w:rsid w:val="001D3246"/>
    <w:rsid w:val="001E2722"/>
    <w:rsid w:val="001F3BCE"/>
    <w:rsid w:val="001F54AD"/>
    <w:rsid w:val="001F5D88"/>
    <w:rsid w:val="002279BA"/>
    <w:rsid w:val="002329F3"/>
    <w:rsid w:val="00243F0D"/>
    <w:rsid w:val="00245BA8"/>
    <w:rsid w:val="00250270"/>
    <w:rsid w:val="00252C31"/>
    <w:rsid w:val="00254888"/>
    <w:rsid w:val="00255852"/>
    <w:rsid w:val="00260767"/>
    <w:rsid w:val="002647BB"/>
    <w:rsid w:val="002754C1"/>
    <w:rsid w:val="002841C8"/>
    <w:rsid w:val="0028516B"/>
    <w:rsid w:val="002B103A"/>
    <w:rsid w:val="002C6F90"/>
    <w:rsid w:val="002D4CAA"/>
    <w:rsid w:val="002E4FB5"/>
    <w:rsid w:val="002E5DDA"/>
    <w:rsid w:val="002F210A"/>
    <w:rsid w:val="00302FB8"/>
    <w:rsid w:val="00304EA1"/>
    <w:rsid w:val="00307944"/>
    <w:rsid w:val="00314D81"/>
    <w:rsid w:val="00316048"/>
    <w:rsid w:val="003177D2"/>
    <w:rsid w:val="00322A78"/>
    <w:rsid w:val="00322FC6"/>
    <w:rsid w:val="003343AB"/>
    <w:rsid w:val="003348AA"/>
    <w:rsid w:val="003359FD"/>
    <w:rsid w:val="0035293F"/>
    <w:rsid w:val="00360A30"/>
    <w:rsid w:val="00361293"/>
    <w:rsid w:val="00374155"/>
    <w:rsid w:val="0038622E"/>
    <w:rsid w:val="00391986"/>
    <w:rsid w:val="00392864"/>
    <w:rsid w:val="003A00B4"/>
    <w:rsid w:val="003A02A0"/>
    <w:rsid w:val="003C394F"/>
    <w:rsid w:val="003C5E71"/>
    <w:rsid w:val="003D1668"/>
    <w:rsid w:val="003E55B1"/>
    <w:rsid w:val="003F7BE5"/>
    <w:rsid w:val="00411D26"/>
    <w:rsid w:val="004147D4"/>
    <w:rsid w:val="00417AA3"/>
    <w:rsid w:val="00421DB1"/>
    <w:rsid w:val="00425DFE"/>
    <w:rsid w:val="00425FD1"/>
    <w:rsid w:val="00434EDB"/>
    <w:rsid w:val="00440B32"/>
    <w:rsid w:val="00444660"/>
    <w:rsid w:val="00457521"/>
    <w:rsid w:val="0046078D"/>
    <w:rsid w:val="0048438A"/>
    <w:rsid w:val="00490E9C"/>
    <w:rsid w:val="00495592"/>
    <w:rsid w:val="00495C80"/>
    <w:rsid w:val="004A2ED8"/>
    <w:rsid w:val="004C0964"/>
    <w:rsid w:val="004C704F"/>
    <w:rsid w:val="004D70CD"/>
    <w:rsid w:val="004F5BDA"/>
    <w:rsid w:val="004F6DE0"/>
    <w:rsid w:val="00502B47"/>
    <w:rsid w:val="00514E53"/>
    <w:rsid w:val="0051631E"/>
    <w:rsid w:val="0052009A"/>
    <w:rsid w:val="0052180F"/>
    <w:rsid w:val="00531D1F"/>
    <w:rsid w:val="00537A1F"/>
    <w:rsid w:val="00541F27"/>
    <w:rsid w:val="00551388"/>
    <w:rsid w:val="00563E1D"/>
    <w:rsid w:val="00566029"/>
    <w:rsid w:val="00566B56"/>
    <w:rsid w:val="00567FD3"/>
    <w:rsid w:val="00587D88"/>
    <w:rsid w:val="00591754"/>
    <w:rsid w:val="005923CB"/>
    <w:rsid w:val="005977A4"/>
    <w:rsid w:val="005B391B"/>
    <w:rsid w:val="005B5A8C"/>
    <w:rsid w:val="005B71A1"/>
    <w:rsid w:val="005D3D78"/>
    <w:rsid w:val="005D7236"/>
    <w:rsid w:val="005E2EF0"/>
    <w:rsid w:val="005F2323"/>
    <w:rsid w:val="005F4092"/>
    <w:rsid w:val="00610518"/>
    <w:rsid w:val="00616567"/>
    <w:rsid w:val="00620EF9"/>
    <w:rsid w:val="00625825"/>
    <w:rsid w:val="00641446"/>
    <w:rsid w:val="0066570E"/>
    <w:rsid w:val="0068471E"/>
    <w:rsid w:val="00684F98"/>
    <w:rsid w:val="00690557"/>
    <w:rsid w:val="00693FFD"/>
    <w:rsid w:val="006A49D6"/>
    <w:rsid w:val="006D2159"/>
    <w:rsid w:val="006E4402"/>
    <w:rsid w:val="006F58F8"/>
    <w:rsid w:val="006F787C"/>
    <w:rsid w:val="00702636"/>
    <w:rsid w:val="00723D88"/>
    <w:rsid w:val="00724507"/>
    <w:rsid w:val="007367A6"/>
    <w:rsid w:val="007623B9"/>
    <w:rsid w:val="00773E6C"/>
    <w:rsid w:val="0078030E"/>
    <w:rsid w:val="00781FB1"/>
    <w:rsid w:val="007A0E4B"/>
    <w:rsid w:val="007A3AE2"/>
    <w:rsid w:val="007A5002"/>
    <w:rsid w:val="007D1B6D"/>
    <w:rsid w:val="007D6335"/>
    <w:rsid w:val="007E7D1F"/>
    <w:rsid w:val="00813C37"/>
    <w:rsid w:val="008154B5"/>
    <w:rsid w:val="00823962"/>
    <w:rsid w:val="0084345A"/>
    <w:rsid w:val="00852719"/>
    <w:rsid w:val="00860115"/>
    <w:rsid w:val="00862F22"/>
    <w:rsid w:val="00863344"/>
    <w:rsid w:val="00863C0B"/>
    <w:rsid w:val="00880694"/>
    <w:rsid w:val="0088783C"/>
    <w:rsid w:val="008B1278"/>
    <w:rsid w:val="008B4A42"/>
    <w:rsid w:val="008C0A84"/>
    <w:rsid w:val="008D0ABF"/>
    <w:rsid w:val="008D57CA"/>
    <w:rsid w:val="008F0810"/>
    <w:rsid w:val="008F09BA"/>
    <w:rsid w:val="008F7AEB"/>
    <w:rsid w:val="00905484"/>
    <w:rsid w:val="00911A89"/>
    <w:rsid w:val="00932E3A"/>
    <w:rsid w:val="009370BC"/>
    <w:rsid w:val="00941C7B"/>
    <w:rsid w:val="00970580"/>
    <w:rsid w:val="00974183"/>
    <w:rsid w:val="00981554"/>
    <w:rsid w:val="0098739B"/>
    <w:rsid w:val="00996326"/>
    <w:rsid w:val="009B61E5"/>
    <w:rsid w:val="009C0EB7"/>
    <w:rsid w:val="009D1E89"/>
    <w:rsid w:val="009E5707"/>
    <w:rsid w:val="009F0FD6"/>
    <w:rsid w:val="00A03194"/>
    <w:rsid w:val="00A13223"/>
    <w:rsid w:val="00A16521"/>
    <w:rsid w:val="00A17661"/>
    <w:rsid w:val="00A24B2D"/>
    <w:rsid w:val="00A27DCD"/>
    <w:rsid w:val="00A40966"/>
    <w:rsid w:val="00A422D3"/>
    <w:rsid w:val="00A50E81"/>
    <w:rsid w:val="00A608A1"/>
    <w:rsid w:val="00A901D2"/>
    <w:rsid w:val="00A921E0"/>
    <w:rsid w:val="00A922F4"/>
    <w:rsid w:val="00AA5D35"/>
    <w:rsid w:val="00AC04BC"/>
    <w:rsid w:val="00AD04A5"/>
    <w:rsid w:val="00AD59D5"/>
    <w:rsid w:val="00AD5DBE"/>
    <w:rsid w:val="00AE5526"/>
    <w:rsid w:val="00AF051B"/>
    <w:rsid w:val="00B01578"/>
    <w:rsid w:val="00B0738F"/>
    <w:rsid w:val="00B13D3B"/>
    <w:rsid w:val="00B2117F"/>
    <w:rsid w:val="00B230DB"/>
    <w:rsid w:val="00B25D83"/>
    <w:rsid w:val="00B26601"/>
    <w:rsid w:val="00B30E01"/>
    <w:rsid w:val="00B3661E"/>
    <w:rsid w:val="00B41948"/>
    <w:rsid w:val="00B41951"/>
    <w:rsid w:val="00B51FA6"/>
    <w:rsid w:val="00B5311A"/>
    <w:rsid w:val="00B53229"/>
    <w:rsid w:val="00B62480"/>
    <w:rsid w:val="00B65876"/>
    <w:rsid w:val="00B73F76"/>
    <w:rsid w:val="00B74D78"/>
    <w:rsid w:val="00B81B70"/>
    <w:rsid w:val="00B85CA3"/>
    <w:rsid w:val="00BB3BAB"/>
    <w:rsid w:val="00BB3C17"/>
    <w:rsid w:val="00BD0724"/>
    <w:rsid w:val="00BD2B91"/>
    <w:rsid w:val="00BE12FE"/>
    <w:rsid w:val="00BE5521"/>
    <w:rsid w:val="00BF6C23"/>
    <w:rsid w:val="00C101D3"/>
    <w:rsid w:val="00C2005D"/>
    <w:rsid w:val="00C26302"/>
    <w:rsid w:val="00C2658F"/>
    <w:rsid w:val="00C427AE"/>
    <w:rsid w:val="00C526EC"/>
    <w:rsid w:val="00C53263"/>
    <w:rsid w:val="00C6415E"/>
    <w:rsid w:val="00C752AD"/>
    <w:rsid w:val="00C75F1D"/>
    <w:rsid w:val="00C77EA6"/>
    <w:rsid w:val="00C946A7"/>
    <w:rsid w:val="00C95156"/>
    <w:rsid w:val="00CA0DC2"/>
    <w:rsid w:val="00CA2F00"/>
    <w:rsid w:val="00CB1918"/>
    <w:rsid w:val="00CB68E8"/>
    <w:rsid w:val="00CC74D4"/>
    <w:rsid w:val="00CE2A40"/>
    <w:rsid w:val="00D04F01"/>
    <w:rsid w:val="00D06414"/>
    <w:rsid w:val="00D241D9"/>
    <w:rsid w:val="00D24E5A"/>
    <w:rsid w:val="00D30547"/>
    <w:rsid w:val="00D338E4"/>
    <w:rsid w:val="00D35D07"/>
    <w:rsid w:val="00D36FA7"/>
    <w:rsid w:val="00D40C6B"/>
    <w:rsid w:val="00D4304F"/>
    <w:rsid w:val="00D51947"/>
    <w:rsid w:val="00D532F0"/>
    <w:rsid w:val="00D77413"/>
    <w:rsid w:val="00D82759"/>
    <w:rsid w:val="00D86DE4"/>
    <w:rsid w:val="00DB533D"/>
    <w:rsid w:val="00DB6AC4"/>
    <w:rsid w:val="00DE1909"/>
    <w:rsid w:val="00DE51DB"/>
    <w:rsid w:val="00DF06A1"/>
    <w:rsid w:val="00DF7320"/>
    <w:rsid w:val="00E11837"/>
    <w:rsid w:val="00E20D75"/>
    <w:rsid w:val="00E23F1D"/>
    <w:rsid w:val="00E24BF3"/>
    <w:rsid w:val="00E30E05"/>
    <w:rsid w:val="00E36361"/>
    <w:rsid w:val="00E47458"/>
    <w:rsid w:val="00E5571B"/>
    <w:rsid w:val="00E55AE9"/>
    <w:rsid w:val="00E56D1D"/>
    <w:rsid w:val="00E86BA0"/>
    <w:rsid w:val="00E91AB4"/>
    <w:rsid w:val="00E9592C"/>
    <w:rsid w:val="00EA2830"/>
    <w:rsid w:val="00EB0C84"/>
    <w:rsid w:val="00EB64BB"/>
    <w:rsid w:val="00ED53C7"/>
    <w:rsid w:val="00EF1E25"/>
    <w:rsid w:val="00F01253"/>
    <w:rsid w:val="00F17FDE"/>
    <w:rsid w:val="00F40D53"/>
    <w:rsid w:val="00F4525C"/>
    <w:rsid w:val="00F50D86"/>
    <w:rsid w:val="00F6610F"/>
    <w:rsid w:val="00F739B8"/>
    <w:rsid w:val="00F84018"/>
    <w:rsid w:val="00F8634A"/>
    <w:rsid w:val="00FB1197"/>
    <w:rsid w:val="00FB23F1"/>
    <w:rsid w:val="00FC45CB"/>
    <w:rsid w:val="00FC658C"/>
    <w:rsid w:val="00FD29D3"/>
    <w:rsid w:val="00FE2750"/>
    <w:rsid w:val="00FE2873"/>
    <w:rsid w:val="00FE3F0B"/>
    <w:rsid w:val="00FF47DF"/>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B85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B50DD"/>
    <w:pPr>
      <w:numPr>
        <w:numId w:val="1"/>
      </w:numPr>
      <w:tabs>
        <w:tab w:val="left" w:pos="425"/>
      </w:tabs>
      <w:spacing w:before="60" w:after="60"/>
      <w:ind w:left="425" w:hanging="425"/>
      <w:contextualSpacing/>
    </w:pPr>
    <w:rPr>
      <w:rFonts w:eastAsia="Times New Roman"/>
      <w:color w:val="auto"/>
      <w:kern w:val="22"/>
      <w:szCs w:val="18"/>
      <w:lang w:val="en-AU"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1">
    <w:name w:val="Unresolved Mention1"/>
    <w:basedOn w:val="DefaultParagraphFont"/>
    <w:uiPriority w:val="99"/>
    <w:semiHidden/>
    <w:unhideWhenUsed/>
    <w:rsid w:val="0078030E"/>
    <w:rPr>
      <w:color w:val="605E5C"/>
      <w:shd w:val="clear" w:color="auto" w:fill="E1DFDD"/>
    </w:rPr>
  </w:style>
  <w:style w:type="character" w:styleId="FollowedHyperlink">
    <w:name w:val="FollowedHyperlink"/>
    <w:basedOn w:val="DefaultParagraphFont"/>
    <w:uiPriority w:val="99"/>
    <w:semiHidden/>
    <w:unhideWhenUsed/>
    <w:rsid w:val="00C752AD"/>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87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ICCD012"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9B0381D1-85D8-4F4E-8813-E105D55AA58F}"/>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www.w3.org/XML/1998/namespace"/>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0BA2ED61-2342-4D43-96FE-BE4DF436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Intercultural capability</cp:keywords>
  <cp:lastModifiedBy>Witt, Kylie I</cp:lastModifiedBy>
  <cp:revision>2</cp:revision>
  <cp:lastPrinted>2020-03-04T04:43:00Z</cp:lastPrinted>
  <dcterms:created xsi:type="dcterms:W3CDTF">2020-09-30T05:26:00Z</dcterms:created>
  <dcterms:modified xsi:type="dcterms:W3CDTF">2020-09-30T05:26:00Z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