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C" w:rsidRDefault="00C2005D" w:rsidP="00A21C68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A21C68">
        <w:t>career education</w:t>
      </w:r>
      <w:r w:rsidR="007E7D1F">
        <w:t xml:space="preserve"> </w:t>
      </w:r>
      <w:r w:rsidR="007E7D1F" w:rsidRPr="00A0030A">
        <w:t>in</w:t>
      </w:r>
      <w:r w:rsidR="007E7D1F">
        <w:t xml:space="preserve"> </w:t>
      </w:r>
      <w:r w:rsidR="00E56D1D">
        <w:t>the Victorian Curriculum F–10</w:t>
      </w:r>
      <w:r w:rsidR="00086CFC">
        <w:t xml:space="preserve"> </w:t>
      </w:r>
    </w:p>
    <w:p w:rsidR="004F6DE0" w:rsidRPr="008C0A84" w:rsidRDefault="00BF26C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Mathematics, Level </w:t>
      </w:r>
      <w:r w:rsidR="00C873CD">
        <w:rPr>
          <w:lang w:val="en-AU"/>
        </w:rPr>
        <w:t>7</w:t>
      </w:r>
    </w:p>
    <w:p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A21C68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:rsidR="008B1278" w:rsidRPr="008C0A84" w:rsidRDefault="008B1278" w:rsidP="00A21C68">
      <w:pPr>
        <w:pStyle w:val="VCAAbody-withlargetabandhangingindent"/>
      </w:pPr>
      <w:r w:rsidRPr="00A21C68">
        <w:rPr>
          <w:b/>
          <w:bCs/>
        </w:rPr>
        <w:t>Curriculum area and level:</w:t>
      </w:r>
      <w:r w:rsidRPr="008C0A84">
        <w:tab/>
      </w:r>
      <w:r w:rsidR="003C3008" w:rsidRPr="00A0030A">
        <w:t>Mathematics</w:t>
      </w:r>
      <w:r w:rsidR="003C3008">
        <w:t xml:space="preserve">, Level </w:t>
      </w:r>
      <w:r w:rsidR="0008537B">
        <w:t>7</w:t>
      </w:r>
    </w:p>
    <w:p w:rsidR="003C3008" w:rsidRPr="00101B9F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101B9F" w:rsidRPr="00101B9F">
        <w:t xml:space="preserve">Establish the formulas for areas of rectangles, triangles and parallelograms and use these in problem </w:t>
      </w:r>
      <w:r w:rsidR="00101B9F">
        <w:t xml:space="preserve">solving </w:t>
      </w:r>
      <w:hyperlink r:id="rId11" w:tooltip="View elaborations and additional details of VCMMG258" w:history="1">
        <w:r w:rsidR="00101B9F" w:rsidRPr="00101B9F">
          <w:t>(</w:t>
        </w:r>
        <w:r w:rsidR="00101B9F" w:rsidRPr="00A21C68">
          <w:rPr>
            <w:rStyle w:val="Hyperlink"/>
          </w:rPr>
          <w:t>VCMMG258</w:t>
        </w:r>
        <w:r w:rsidR="00101B9F" w:rsidRPr="00101B9F">
          <w:t>)</w:t>
        </w:r>
      </w:hyperlink>
    </w:p>
    <w:p w:rsidR="007E7D1F" w:rsidRPr="00AE7F14" w:rsidRDefault="0008537B">
      <w:pPr>
        <w:pStyle w:val="VCAAbody-withlargetabandhangingindent"/>
      </w:pPr>
      <w:r w:rsidRPr="008C0A84">
        <w:rPr>
          <w:b/>
        </w:rPr>
        <w:t>Existing activity:</w:t>
      </w:r>
      <w:r w:rsidRPr="008C0A84">
        <w:tab/>
      </w:r>
      <w:r w:rsidR="00101B9F">
        <w:t>U</w:t>
      </w:r>
      <w:r w:rsidR="00101B9F" w:rsidRPr="00101B9F">
        <w:t xml:space="preserve">sing area formulas for rectangles and triangles to solve problems involving areas of </w:t>
      </w:r>
      <w:r w:rsidR="00101B9F" w:rsidRPr="00A21C68">
        <w:t>surfaces</w:t>
      </w:r>
      <w:r w:rsidRPr="00AE7F14">
        <w:t>.</w:t>
      </w:r>
    </w:p>
    <w:p w:rsidR="00421DB1" w:rsidRPr="00A21C68" w:rsidRDefault="00421DB1" w:rsidP="00B51FA6">
      <w:pPr>
        <w:pStyle w:val="VCAAbody-withlargetabandhangingindent"/>
      </w:pPr>
      <w:r w:rsidRPr="00A21C68">
        <w:rPr>
          <w:b/>
          <w:bCs/>
        </w:rPr>
        <w:t>Summary of adaptation, change, addition:</w:t>
      </w:r>
      <w:r w:rsidRPr="00A21C68">
        <w:tab/>
      </w:r>
      <w:r w:rsidR="001530DB">
        <w:t>Researching occupations that use area calculations.</w:t>
      </w:r>
    </w:p>
    <w:p w:rsidR="00254888" w:rsidRDefault="00254888" w:rsidP="00A21C68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A21C68"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030"/>
        <w:gridCol w:w="4859"/>
      </w:tblGrid>
      <w:tr w:rsidR="00254888" w:rsidRPr="008C0A84" w:rsidTr="0008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0" w:type="dxa"/>
            <w:tcBorders>
              <w:bottom w:val="single" w:sz="4" w:space="0" w:color="auto"/>
              <w:right w:val="none" w:sz="0" w:space="0" w:color="auto"/>
            </w:tcBorders>
          </w:tcPr>
          <w:p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859" w:type="dxa"/>
            <w:tcBorders>
              <w:left w:val="none" w:sz="0" w:space="0" w:color="auto"/>
              <w:bottom w:val="single" w:sz="4" w:space="0" w:color="auto"/>
            </w:tcBorders>
          </w:tcPr>
          <w:p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08537B" w:rsidRPr="008C0A84" w:rsidTr="0008537B">
        <w:tc>
          <w:tcPr>
            <w:tcW w:w="5030" w:type="dxa"/>
          </w:tcPr>
          <w:p w:rsidR="00E332ED" w:rsidRDefault="0008537B" w:rsidP="00A21C68">
            <w:pPr>
              <w:pStyle w:val="VCAAtablecondensed"/>
              <w:rPr>
                <w:lang w:val="en-AU"/>
              </w:rPr>
            </w:pPr>
            <w:r w:rsidRPr="00A00F74">
              <w:rPr>
                <w:lang w:val="en-AU"/>
              </w:rPr>
              <w:t>Teacher</w:t>
            </w:r>
            <w:r w:rsidR="00A64088">
              <w:rPr>
                <w:lang w:val="en-AU"/>
              </w:rPr>
              <w:t xml:space="preserve"> </w:t>
            </w:r>
            <w:r w:rsidR="00EE6F13">
              <w:rPr>
                <w:lang w:val="en-AU"/>
              </w:rPr>
              <w:t xml:space="preserve">uses diagrams and working on the </w:t>
            </w:r>
            <w:r w:rsidR="00EE6F13" w:rsidRPr="00A21C68">
              <w:t>whiteboard</w:t>
            </w:r>
            <w:r w:rsidR="00EE6F13">
              <w:rPr>
                <w:lang w:val="en-AU"/>
              </w:rPr>
              <w:t xml:space="preserve"> or digital smartboard to demonstrate the calc</w:t>
            </w:r>
            <w:r w:rsidR="00DB3546">
              <w:rPr>
                <w:lang w:val="en-AU"/>
              </w:rPr>
              <w:t xml:space="preserve">ulation of areas of rectangles </w:t>
            </w:r>
            <m:oMath>
              <m:r>
                <w:rPr>
                  <w:rFonts w:ascii="Cambria Math" w:hAnsi="Cambria Math"/>
                  <w:lang w:val="en-AU"/>
                </w:rPr>
                <m:t xml:space="preserve">Area=base ×height </m:t>
              </m:r>
            </m:oMath>
            <w:r w:rsidR="00EE6F13" w:rsidRPr="0093664A">
              <w:rPr>
                <w:lang w:val="en-AU"/>
              </w:rPr>
              <w:t xml:space="preserve">, and </w:t>
            </w:r>
            <w:r w:rsidR="00E332ED" w:rsidRPr="0093664A">
              <w:rPr>
                <w:lang w:val="en-AU"/>
              </w:rPr>
              <w:t>p</w:t>
            </w:r>
            <w:r w:rsidR="00EE6F13" w:rsidRPr="0093664A">
              <w:rPr>
                <w:lang w:val="en-AU"/>
              </w:rPr>
              <w:t xml:space="preserve">roofs for the area calculation for triangles </w:t>
            </w:r>
            <m:oMath>
              <m:r>
                <w:rPr>
                  <w:rFonts w:ascii="Cambria Math" w:hAnsi="Cambria Math"/>
                  <w:lang w:val="en-AU"/>
                </w:rPr>
                <m:t xml:space="preserve">Area= </m:t>
              </m:r>
              <m:f>
                <m:fPr>
                  <m:ctrlPr>
                    <w:rPr>
                      <w:rFonts w:ascii="Cambria Math" w:hAnsi="Cambria Math"/>
                      <w:i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AU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AU"/>
                </w:rPr>
                <m:t>×base×height</m:t>
              </m:r>
            </m:oMath>
          </w:p>
          <w:p w:rsidR="0008537B" w:rsidRPr="00A00F74" w:rsidRDefault="00E332ED" w:rsidP="00A21C6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discuss and ask questions regarding area </w:t>
            </w:r>
            <w:r w:rsidRPr="00A21C68">
              <w:t>calculation</w:t>
            </w:r>
            <w:r>
              <w:rPr>
                <w:lang w:val="en-AU"/>
              </w:rPr>
              <w:t xml:space="preserve"> methods during class discussion</w:t>
            </w:r>
            <w:r w:rsidR="0008537B" w:rsidRPr="00A00F74">
              <w:rPr>
                <w:lang w:val="en-AU"/>
              </w:rPr>
              <w:t>.</w:t>
            </w:r>
          </w:p>
        </w:tc>
        <w:tc>
          <w:tcPr>
            <w:tcW w:w="4859" w:type="dxa"/>
          </w:tcPr>
          <w:p w:rsidR="00A64088" w:rsidRPr="00A21C68" w:rsidRDefault="0008537B" w:rsidP="00A21C68">
            <w:pPr>
              <w:pStyle w:val="VCAAtablecondensed"/>
            </w:pPr>
            <w:r w:rsidRPr="00A00F74">
              <w:rPr>
                <w:lang w:val="en-AU"/>
              </w:rPr>
              <w:t xml:space="preserve">Teacher </w:t>
            </w:r>
            <w:r w:rsidR="00D82EF3">
              <w:rPr>
                <w:lang w:val="en-AU"/>
              </w:rPr>
              <w:t>introduces a range of occupations that use area calculations</w:t>
            </w:r>
            <w:r w:rsidR="001530DB">
              <w:rPr>
                <w:lang w:val="en-AU"/>
              </w:rPr>
              <w:t>, f</w:t>
            </w:r>
            <w:r w:rsidR="001E62B0">
              <w:rPr>
                <w:lang w:val="en-AU"/>
              </w:rPr>
              <w:t>or example,</w:t>
            </w:r>
            <w:r w:rsidR="00D82EF3">
              <w:rPr>
                <w:lang w:val="en-AU"/>
              </w:rPr>
              <w:t xml:space="preserve"> farming, </w:t>
            </w:r>
            <w:r w:rsidR="00D82EF3" w:rsidRPr="00A21C68">
              <w:t xml:space="preserve">architecture and design, </w:t>
            </w:r>
            <w:r w:rsidR="00710C7E" w:rsidRPr="00A21C68">
              <w:t>interior</w:t>
            </w:r>
            <w:r w:rsidR="00D82EF3" w:rsidRPr="00A21C68">
              <w:t xml:space="preserve"> </w:t>
            </w:r>
            <w:r w:rsidR="001E62B0">
              <w:t>decorating</w:t>
            </w:r>
            <w:r w:rsidR="00D82EF3" w:rsidRPr="00A21C68">
              <w:t xml:space="preserve">, environmental planning, </w:t>
            </w:r>
            <w:r w:rsidR="001530DB">
              <w:t xml:space="preserve">or </w:t>
            </w:r>
            <w:r w:rsidR="00D82EF3" w:rsidRPr="00A21C68">
              <w:t>engineering</w:t>
            </w:r>
            <w:r w:rsidR="007E3C54" w:rsidRPr="00A21C68">
              <w:t xml:space="preserve">. </w:t>
            </w:r>
          </w:p>
          <w:p w:rsidR="00A00F74" w:rsidRPr="00C13A72" w:rsidRDefault="00C13A72" w:rsidP="00C40B99">
            <w:pPr>
              <w:pStyle w:val="VCAAtablecondensed"/>
              <w:rPr>
                <w:lang w:val="en-AU"/>
              </w:rPr>
            </w:pPr>
            <w:r w:rsidRPr="00A21C68">
              <w:t xml:space="preserve">Teacher </w:t>
            </w:r>
            <w:r w:rsidR="001530DB">
              <w:t>then</w:t>
            </w:r>
            <w:r w:rsidR="001530DB" w:rsidRPr="00A21C68">
              <w:t xml:space="preserve"> </w:t>
            </w:r>
            <w:r w:rsidRPr="00A21C68">
              <w:t>demonstrate</w:t>
            </w:r>
            <w:r w:rsidR="001530DB">
              <w:t>s</w:t>
            </w:r>
            <w:r w:rsidRPr="00A21C68">
              <w:t xml:space="preserve"> the calculation of areas of rectangles </w:t>
            </w:r>
            <m:oMath>
              <m:r>
                <w:rPr>
                  <w:rFonts w:ascii="Cambria Math" w:hAnsi="Cambria Math"/>
                  <w:lang w:val="en-AU"/>
                </w:rPr>
                <m:t xml:space="preserve">Area=base ×height  </m:t>
              </m:r>
            </m:oMath>
            <w:r w:rsidRPr="0093664A">
              <w:t>and proofs for the area calculation</w:t>
            </w:r>
            <w:r w:rsidRPr="0093664A">
              <w:rPr>
                <w:lang w:val="en-AU"/>
              </w:rPr>
              <w:t xml:space="preserve"> for triangles</w:t>
            </w:r>
            <m:oMath>
              <m:r>
                <w:rPr>
                  <w:rFonts w:ascii="Cambria Math" w:hAnsi="Cambria Math"/>
                  <w:lang w:val="en-AU"/>
                </w:rPr>
                <m:t xml:space="preserve"> Area= </m:t>
              </m:r>
              <m:f>
                <m:fPr>
                  <m:ctrlPr>
                    <w:rPr>
                      <w:rFonts w:ascii="Cambria Math" w:hAnsi="Cambria Math"/>
                      <w:i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AU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AU"/>
                </w:rPr>
                <m:t>×base×height</m:t>
              </m:r>
            </m:oMath>
            <w:r w:rsidR="00C40B99" w:rsidRPr="0093664A">
              <w:rPr>
                <w:rFonts w:eastAsiaTheme="minorEastAsia"/>
                <w:lang w:val="en-AU"/>
              </w:rPr>
              <w:t xml:space="preserve"> </w:t>
            </w:r>
            <w:r w:rsidRPr="0093664A">
              <w:rPr>
                <w:rFonts w:eastAsiaTheme="minorEastAsia"/>
                <w:lang w:val="en-AU"/>
              </w:rPr>
              <w:t>–</w:t>
            </w:r>
            <w:r>
              <w:rPr>
                <w:rFonts w:eastAsiaTheme="minorEastAsia"/>
                <w:lang w:val="en-AU"/>
              </w:rPr>
              <w:t xml:space="preserve"> as per </w:t>
            </w:r>
            <w:r w:rsidR="00E451C6">
              <w:rPr>
                <w:rFonts w:eastAsiaTheme="minorEastAsia"/>
                <w:lang w:val="en-AU"/>
              </w:rPr>
              <w:t>existing</w:t>
            </w:r>
            <w:r>
              <w:rPr>
                <w:rFonts w:eastAsiaTheme="minorEastAsia"/>
                <w:lang w:val="en-AU"/>
              </w:rPr>
              <w:t xml:space="preserve"> activity.</w:t>
            </w:r>
          </w:p>
        </w:tc>
      </w:tr>
      <w:tr w:rsidR="0008537B" w:rsidRPr="008C0A84" w:rsidTr="0008537B">
        <w:tc>
          <w:tcPr>
            <w:tcW w:w="5030" w:type="dxa"/>
          </w:tcPr>
          <w:p w:rsidR="00C40B99" w:rsidRDefault="0008537B" w:rsidP="00C40B99">
            <w:pPr>
              <w:pStyle w:val="VCAAtablecondensed"/>
              <w:rPr>
                <w:lang w:val="en-AU"/>
              </w:rPr>
            </w:pPr>
            <w:r w:rsidRPr="00641945">
              <w:rPr>
                <w:lang w:val="en-AU"/>
              </w:rPr>
              <w:t xml:space="preserve">Teacher </w:t>
            </w:r>
            <w:r w:rsidR="00E332ED">
              <w:rPr>
                <w:lang w:val="en-AU"/>
              </w:rPr>
              <w:t xml:space="preserve">provides students with paper and scissors </w:t>
            </w:r>
            <w:r w:rsidR="007E3C54">
              <w:rPr>
                <w:lang w:val="en-AU"/>
              </w:rPr>
              <w:t>and</w:t>
            </w:r>
            <w:r w:rsidR="00E332ED">
              <w:rPr>
                <w:lang w:val="en-AU"/>
              </w:rPr>
              <w:t xml:space="preserve"> show</w:t>
            </w:r>
            <w:r w:rsidR="007E3C54">
              <w:rPr>
                <w:lang w:val="en-AU"/>
              </w:rPr>
              <w:t>s</w:t>
            </w:r>
            <w:r w:rsidR="00E332ED">
              <w:rPr>
                <w:lang w:val="en-AU"/>
              </w:rPr>
              <w:t xml:space="preserve"> using concrete materials that the area of any triangle is </w:t>
            </w:r>
            <w:r w:rsidR="007E3C54">
              <w:rPr>
                <w:lang w:val="en-AU"/>
              </w:rPr>
              <w:br/>
            </w:r>
            <m:oMathPara>
              <m:oMath>
                <m:r>
                  <w:rPr>
                    <w:rFonts w:ascii="Cambria Math" w:hAnsi="Cambria Math"/>
                    <w:lang w:val="en-AU"/>
                  </w:rPr>
                  <m:t xml:space="preserve">Area=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A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A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A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AU"/>
                  </w:rPr>
                  <m:t>×base×height</m:t>
                </m:r>
              </m:oMath>
            </m:oMathPara>
          </w:p>
          <w:p w:rsidR="001E62B0" w:rsidRDefault="00E332ED" w:rsidP="00D82EF3">
            <w:pPr>
              <w:pStyle w:val="VCAAtablecondensed"/>
              <w:spacing w:before="120" w:after="120" w:line="240" w:lineRule="auto"/>
              <w:rPr>
                <w:rFonts w:eastAsiaTheme="minorEastAsia"/>
                <w:szCs w:val="20"/>
                <w:lang w:val="en-AU"/>
              </w:rPr>
            </w:pPr>
            <w:proofErr w:type="gramStart"/>
            <w:r>
              <w:rPr>
                <w:rFonts w:eastAsiaTheme="minorEastAsia"/>
                <w:szCs w:val="20"/>
                <w:lang w:val="en-AU"/>
              </w:rPr>
              <w:t>where</w:t>
            </w:r>
            <w:proofErr w:type="gramEnd"/>
            <w:r>
              <w:rPr>
                <w:rFonts w:eastAsiaTheme="minorEastAsia"/>
                <w:szCs w:val="20"/>
                <w:lang w:val="en-AU"/>
              </w:rPr>
              <w:t xml:space="preserve"> the height is measured from a line perpendicular to the triangle base and intersecting the triangle’s apex. </w:t>
            </w:r>
          </w:p>
          <w:p w:rsidR="0008537B" w:rsidRDefault="00E332ED" w:rsidP="00A21C6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scaffolds and assists students to show this is </w:t>
            </w:r>
            <w:r w:rsidR="00B87825" w:rsidRPr="0093664A">
              <w:rPr>
                <w:lang w:val="en-AU"/>
              </w:rPr>
              <w:t xml:space="preserve">the case </w:t>
            </w:r>
            <w:r w:rsidRPr="0093664A">
              <w:rPr>
                <w:lang w:val="en-AU"/>
              </w:rPr>
              <w:t xml:space="preserve">for </w:t>
            </w:r>
            <w:r w:rsidR="00B87825" w:rsidRPr="0093664A">
              <w:rPr>
                <w:lang w:val="en-AU"/>
              </w:rPr>
              <w:t xml:space="preserve">any triangle: </w:t>
            </w:r>
            <w:r w:rsidRPr="0093664A">
              <w:rPr>
                <w:lang w:val="en-AU"/>
              </w:rPr>
              <w:t>i</w:t>
            </w:r>
            <w:r>
              <w:rPr>
                <w:lang w:val="en-AU"/>
              </w:rPr>
              <w:t>sosceles</w:t>
            </w:r>
            <w:r w:rsidR="007E3C54">
              <w:rPr>
                <w:lang w:val="en-AU"/>
              </w:rPr>
              <w:t xml:space="preserve">, </w:t>
            </w:r>
            <w:r>
              <w:rPr>
                <w:lang w:val="en-AU"/>
              </w:rPr>
              <w:t>scalene</w:t>
            </w:r>
            <w:r w:rsidR="007E3C54">
              <w:rPr>
                <w:lang w:val="en-AU"/>
              </w:rPr>
              <w:t xml:space="preserve">, </w:t>
            </w:r>
            <w:r>
              <w:rPr>
                <w:lang w:val="en-AU"/>
              </w:rPr>
              <w:t>equilateral and right-angled triangles.</w:t>
            </w:r>
          </w:p>
          <w:p w:rsidR="00E332ED" w:rsidRPr="008C0A84" w:rsidRDefault="00E332ED" w:rsidP="00A21C6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</w:t>
            </w:r>
            <w:r w:rsidR="001530DB">
              <w:rPr>
                <w:lang w:val="en-AU"/>
              </w:rPr>
              <w:t>s</w:t>
            </w:r>
            <w:r>
              <w:rPr>
                <w:lang w:val="en-AU"/>
              </w:rPr>
              <w:t xml:space="preserve"> use concrete materials (paper/</w:t>
            </w:r>
            <w:r w:rsidRPr="00A21C68">
              <w:t>cardboard</w:t>
            </w:r>
            <w:r>
              <w:rPr>
                <w:lang w:val="en-AU"/>
              </w:rPr>
              <w:t xml:space="preserve"> and scissors, ruler and pencils) to prove this is true for all triangles.</w:t>
            </w:r>
          </w:p>
        </w:tc>
        <w:tc>
          <w:tcPr>
            <w:tcW w:w="4859" w:type="dxa"/>
          </w:tcPr>
          <w:p w:rsidR="0008537B" w:rsidRDefault="00C13A72" w:rsidP="00A21C6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1530DB">
              <w:rPr>
                <w:lang w:val="en-AU"/>
              </w:rPr>
              <w:t xml:space="preserve">break </w:t>
            </w:r>
            <w:r>
              <w:rPr>
                <w:lang w:val="en-AU"/>
              </w:rPr>
              <w:t>into ‘</w:t>
            </w:r>
            <w:r w:rsidR="00710C7E">
              <w:rPr>
                <w:lang w:val="en-AU"/>
              </w:rPr>
              <w:t>e</w:t>
            </w:r>
            <w:r>
              <w:rPr>
                <w:lang w:val="en-AU"/>
              </w:rPr>
              <w:t xml:space="preserve">xpert </w:t>
            </w:r>
            <w:r w:rsidR="00710C7E">
              <w:rPr>
                <w:lang w:val="en-AU"/>
              </w:rPr>
              <w:t>g</w:t>
            </w:r>
            <w:r>
              <w:rPr>
                <w:lang w:val="en-AU"/>
              </w:rPr>
              <w:t>roups’ so that each group has at least the same number of students in it as there are categories selected by students from those on the board</w:t>
            </w:r>
            <w:r w:rsidR="001530DB">
              <w:rPr>
                <w:lang w:val="en-AU"/>
              </w:rPr>
              <w:t xml:space="preserve">. </w:t>
            </w:r>
            <w:r>
              <w:rPr>
                <w:lang w:val="en-AU"/>
              </w:rPr>
              <w:t xml:space="preserve">Each </w:t>
            </w:r>
            <w:r w:rsidR="00E27F13">
              <w:rPr>
                <w:lang w:val="en-AU"/>
              </w:rPr>
              <w:t xml:space="preserve">expert </w:t>
            </w:r>
            <w:r>
              <w:rPr>
                <w:lang w:val="en-AU"/>
              </w:rPr>
              <w:t xml:space="preserve">group selects </w:t>
            </w:r>
            <w:r w:rsidRPr="00F6634E">
              <w:rPr>
                <w:i/>
                <w:iCs/>
                <w:lang w:val="en-AU"/>
              </w:rPr>
              <w:t>one</w:t>
            </w:r>
            <w:r>
              <w:rPr>
                <w:lang w:val="en-AU"/>
              </w:rPr>
              <w:t xml:space="preserve"> occupational group (so that no </w:t>
            </w:r>
            <w:r w:rsidR="00710C7E">
              <w:rPr>
                <w:lang w:val="en-AU"/>
              </w:rPr>
              <w:t xml:space="preserve">two </w:t>
            </w:r>
            <w:r>
              <w:rPr>
                <w:lang w:val="en-AU"/>
              </w:rPr>
              <w:t>groups have the same selection).</w:t>
            </w:r>
          </w:p>
          <w:p w:rsidR="00C13A72" w:rsidRPr="00B74D78" w:rsidRDefault="00E27F13" w:rsidP="00A21C6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C13A72">
              <w:rPr>
                <w:lang w:val="en-AU"/>
              </w:rPr>
              <w:t xml:space="preserve">xpert </w:t>
            </w:r>
            <w:r w:rsidR="00710C7E">
              <w:rPr>
                <w:lang w:val="en-AU"/>
              </w:rPr>
              <w:t>g</w:t>
            </w:r>
            <w:r w:rsidR="00C13A72">
              <w:rPr>
                <w:lang w:val="en-AU"/>
              </w:rPr>
              <w:t xml:space="preserve">roups </w:t>
            </w:r>
            <w:r w:rsidR="00622596">
              <w:rPr>
                <w:lang w:val="en-AU"/>
              </w:rPr>
              <w:t xml:space="preserve">use the internet to </w:t>
            </w:r>
            <w:r w:rsidR="00C13A72">
              <w:rPr>
                <w:lang w:val="en-AU"/>
              </w:rPr>
              <w:t xml:space="preserve">research their selected occupational area and </w:t>
            </w:r>
            <w:r w:rsidR="00C13A72" w:rsidRPr="00A21C68">
              <w:rPr>
                <w:lang w:val="en-AU"/>
              </w:rPr>
              <w:t>speculate</w:t>
            </w:r>
            <w:r w:rsidR="00C13A72">
              <w:rPr>
                <w:lang w:val="en-AU"/>
              </w:rPr>
              <w:t xml:space="preserve"> how their occupation might use </w:t>
            </w:r>
            <w:r w:rsidR="00C13A72" w:rsidRPr="00A21C68">
              <w:t>area</w:t>
            </w:r>
            <w:r w:rsidR="00C13A72">
              <w:rPr>
                <w:lang w:val="en-AU"/>
              </w:rPr>
              <w:t xml:space="preserve"> calculations for rectangles, triangles and composite shapes in their roles</w:t>
            </w:r>
            <w:r w:rsidR="00710C7E">
              <w:rPr>
                <w:lang w:val="en-AU"/>
              </w:rPr>
              <w:t>.</w:t>
            </w:r>
            <w:r w:rsidR="00C13A72">
              <w:rPr>
                <w:lang w:val="en-AU"/>
              </w:rPr>
              <w:t xml:space="preserve"> </w:t>
            </w:r>
            <w:r w:rsidR="00622596">
              <w:rPr>
                <w:lang w:val="en-AU"/>
              </w:rPr>
              <w:t xml:space="preserve">For example, </w:t>
            </w:r>
            <w:r>
              <w:rPr>
                <w:lang w:val="en-AU"/>
              </w:rPr>
              <w:t>i</w:t>
            </w:r>
            <w:r w:rsidR="00C13A72" w:rsidRPr="00A21C68">
              <w:rPr>
                <w:lang w:val="en-AU"/>
              </w:rPr>
              <w:t xml:space="preserve">nterior </w:t>
            </w:r>
            <w:r w:rsidR="00710C7E">
              <w:rPr>
                <w:lang w:val="en-AU"/>
              </w:rPr>
              <w:t>designers</w:t>
            </w:r>
            <w:r w:rsidR="00C13A72" w:rsidRPr="00A21C68">
              <w:rPr>
                <w:lang w:val="en-AU"/>
              </w:rPr>
              <w:t xml:space="preserve"> might use area calculations to design floor covering areas</w:t>
            </w:r>
            <w:r w:rsidR="00622596">
              <w:rPr>
                <w:lang w:val="en-AU"/>
              </w:rPr>
              <w:t>.</w:t>
            </w:r>
          </w:p>
        </w:tc>
      </w:tr>
      <w:tr w:rsidR="0008537B" w:rsidRPr="008C0A84" w:rsidTr="0008537B">
        <w:tc>
          <w:tcPr>
            <w:tcW w:w="5030" w:type="dxa"/>
            <w:tcBorders>
              <w:bottom w:val="single" w:sz="4" w:space="0" w:color="auto"/>
            </w:tcBorders>
          </w:tcPr>
          <w:p w:rsidR="00E332ED" w:rsidRPr="00A21C68" w:rsidRDefault="00E332ED" w:rsidP="00A21C68">
            <w:pPr>
              <w:pStyle w:val="VCAAtablecondensed"/>
            </w:pPr>
            <w:r>
              <w:rPr>
                <w:lang w:val="en-AU"/>
              </w:rPr>
              <w:t>Teache</w:t>
            </w:r>
            <w:r w:rsidR="001530DB">
              <w:rPr>
                <w:lang w:val="en-AU"/>
              </w:rPr>
              <w:t>r</w:t>
            </w:r>
            <w:r>
              <w:rPr>
                <w:lang w:val="en-AU"/>
              </w:rPr>
              <w:t xml:space="preserve"> provide</w:t>
            </w:r>
            <w:r w:rsidR="001530DB">
              <w:rPr>
                <w:lang w:val="en-AU"/>
              </w:rPr>
              <w:t>s</w:t>
            </w:r>
            <w:r>
              <w:rPr>
                <w:lang w:val="en-AU"/>
              </w:rPr>
              <w:t xml:space="preserve"> written (text</w:t>
            </w:r>
            <w:r w:rsidR="00710C7E">
              <w:rPr>
                <w:lang w:val="en-AU"/>
              </w:rPr>
              <w:t>-</w:t>
            </w:r>
            <w:r>
              <w:rPr>
                <w:lang w:val="en-AU"/>
              </w:rPr>
              <w:t xml:space="preserve">based) exercises involving calculation of the areas of rectangles and </w:t>
            </w:r>
            <w:r w:rsidRPr="00A21C68">
              <w:t>triangles.</w:t>
            </w:r>
          </w:p>
          <w:p w:rsidR="0008537B" w:rsidRPr="008C0A84" w:rsidRDefault="0008537B" w:rsidP="00A21C68">
            <w:pPr>
              <w:pStyle w:val="VCAAtablecondensed"/>
              <w:rPr>
                <w:lang w:val="en-AU"/>
              </w:rPr>
            </w:pPr>
            <w:r w:rsidRPr="00A21C68">
              <w:lastRenderedPageBreak/>
              <w:t xml:space="preserve">Students </w:t>
            </w:r>
            <w:r w:rsidR="00E332ED" w:rsidRPr="00A21C68">
              <w:t>work through written exercises and dia</w:t>
            </w:r>
            <w:r w:rsidR="00E332ED">
              <w:rPr>
                <w:lang w:val="en-AU"/>
              </w:rPr>
              <w:t>grams in workbook.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F6634E" w:rsidRPr="00A21C68" w:rsidRDefault="00710C7E" w:rsidP="00A21C68">
            <w:pPr>
              <w:pStyle w:val="VCAAtablecondensed"/>
            </w:pPr>
            <w:r>
              <w:rPr>
                <w:lang w:val="en-AU"/>
              </w:rPr>
              <w:lastRenderedPageBreak/>
              <w:t>E</w:t>
            </w:r>
            <w:r w:rsidR="00C1647A">
              <w:rPr>
                <w:lang w:val="en-AU"/>
              </w:rPr>
              <w:t xml:space="preserve">xpert groups design one </w:t>
            </w:r>
            <w:r w:rsidR="00C1647A" w:rsidRPr="00A21C68">
              <w:t xml:space="preserve">occupationally contextual problem based on calculation of area of triangles, rectangles or </w:t>
            </w:r>
            <w:r w:rsidR="00C1647A" w:rsidRPr="00A21C68">
              <w:lastRenderedPageBreak/>
              <w:t xml:space="preserve">composite plane shapes. </w:t>
            </w:r>
            <w:r w:rsidRPr="00A21C68">
              <w:t>T</w:t>
            </w:r>
            <w:r w:rsidR="00C1647A" w:rsidRPr="00A21C68">
              <w:t>hey may refer to a textbook for inspiration based on existing example questions</w:t>
            </w:r>
            <w:r w:rsidRPr="00A21C68">
              <w:t>.</w:t>
            </w:r>
          </w:p>
          <w:p w:rsidR="00C1647A" w:rsidRPr="00F6634E" w:rsidRDefault="00C1647A" w:rsidP="00A21C68">
            <w:pPr>
              <w:pStyle w:val="VCAAtablecondensed"/>
              <w:rPr>
                <w:lang w:val="en-AU"/>
              </w:rPr>
            </w:pPr>
            <w:r w:rsidRPr="00A21C68">
              <w:t xml:space="preserve">Expert </w:t>
            </w:r>
            <w:r w:rsidR="00710C7E" w:rsidRPr="00A21C68">
              <w:t>g</w:t>
            </w:r>
            <w:r w:rsidRPr="00A21C68">
              <w:t>roup problem</w:t>
            </w:r>
            <w:r w:rsidR="00F6634E" w:rsidRPr="00A21C68">
              <w:t>s</w:t>
            </w:r>
            <w:r w:rsidRPr="00A21C68">
              <w:t xml:space="preserve"> should be mathematically robust and must relate directly to a problem that might</w:t>
            </w:r>
            <w:r>
              <w:rPr>
                <w:lang w:val="en-AU"/>
              </w:rPr>
              <w:t xml:space="preserve"> exist in that occupation. </w:t>
            </w:r>
            <w:r w:rsidRPr="00A21C68">
              <w:rPr>
                <w:lang w:val="en-AU"/>
              </w:rPr>
              <w:t xml:space="preserve">Each member of the </w:t>
            </w:r>
            <w:r w:rsidR="00710C7E">
              <w:rPr>
                <w:lang w:val="en-AU"/>
              </w:rPr>
              <w:t>e</w:t>
            </w:r>
            <w:r w:rsidRPr="00A21C68">
              <w:rPr>
                <w:lang w:val="en-AU"/>
              </w:rPr>
              <w:t xml:space="preserve">xpert </w:t>
            </w:r>
            <w:r w:rsidR="00710C7E">
              <w:rPr>
                <w:lang w:val="en-AU"/>
              </w:rPr>
              <w:t>g</w:t>
            </w:r>
            <w:r w:rsidRPr="00A21C68">
              <w:rPr>
                <w:lang w:val="en-AU"/>
              </w:rPr>
              <w:t>roup will need to take notes and record the question or problem.</w:t>
            </w:r>
          </w:p>
        </w:tc>
      </w:tr>
      <w:tr w:rsidR="0008537B" w:rsidRPr="008C0A84" w:rsidTr="0008537B">
        <w:tc>
          <w:tcPr>
            <w:tcW w:w="5030" w:type="dxa"/>
          </w:tcPr>
          <w:p w:rsidR="00B325EC" w:rsidRPr="008C0A84" w:rsidRDefault="00B325EC" w:rsidP="00B325EC">
            <w:pPr>
              <w:pStyle w:val="VCAAtablecondensed"/>
              <w:rPr>
                <w:lang w:val="en-AU"/>
              </w:rPr>
            </w:pPr>
            <w:r w:rsidRPr="00B325EC">
              <w:rPr>
                <w:color w:val="auto"/>
              </w:rPr>
              <w:lastRenderedPageBreak/>
              <w:t>Teacher and students review responses in class with students doing a preliminary self-assessment, which the teacher then checks and confirms or refines</w:t>
            </w:r>
            <w:r w:rsidRPr="00B325EC">
              <w:rPr>
                <w:color w:val="auto"/>
              </w:rPr>
              <w:t>. Teacher</w:t>
            </w:r>
            <w:r w:rsidRPr="00B325EC">
              <w:rPr>
                <w:color w:val="auto"/>
              </w:rPr>
              <w:t xml:space="preserve"> provides individual feedback as appropriate</w:t>
            </w:r>
            <w:r>
              <w:rPr>
                <w:color w:val="auto"/>
              </w:rPr>
              <w:t>.</w:t>
            </w:r>
            <w:bookmarkStart w:id="1" w:name="_GoBack"/>
            <w:bookmarkEnd w:id="1"/>
          </w:p>
        </w:tc>
        <w:tc>
          <w:tcPr>
            <w:tcW w:w="4859" w:type="dxa"/>
          </w:tcPr>
          <w:p w:rsidR="0008537B" w:rsidRPr="00A21C68" w:rsidRDefault="00E27F13" w:rsidP="00A21C68">
            <w:pPr>
              <w:pStyle w:val="VCAAtablecondensed"/>
            </w:pPr>
            <w:r>
              <w:rPr>
                <w:lang w:val="en-AU"/>
              </w:rPr>
              <w:t>E</w:t>
            </w:r>
            <w:r w:rsidR="00C1647A">
              <w:rPr>
                <w:lang w:val="en-AU"/>
              </w:rPr>
              <w:t xml:space="preserve">xpert </w:t>
            </w:r>
            <w:r w:rsidR="008530F5">
              <w:rPr>
                <w:lang w:val="en-AU"/>
              </w:rPr>
              <w:t>g</w:t>
            </w:r>
            <w:r w:rsidR="00C1647A">
              <w:rPr>
                <w:lang w:val="en-AU"/>
              </w:rPr>
              <w:t xml:space="preserve">roups divide up and form new groups, so that there is at least one member of each </w:t>
            </w:r>
            <w:r w:rsidR="008530F5" w:rsidRPr="00A21C68">
              <w:t>e</w:t>
            </w:r>
            <w:r w:rsidR="00C1647A" w:rsidRPr="00A21C68">
              <w:t xml:space="preserve">xpert </w:t>
            </w:r>
            <w:r w:rsidR="008530F5" w:rsidRPr="00A21C68">
              <w:t>g</w:t>
            </w:r>
            <w:r w:rsidR="00C1647A" w:rsidRPr="00A21C68">
              <w:t>roup in each of the new groups</w:t>
            </w:r>
            <w:r w:rsidR="00F6634E" w:rsidRPr="00A21C68">
              <w:t>. The</w:t>
            </w:r>
            <w:r w:rsidR="008530F5" w:rsidRPr="00A21C68">
              <w:t>s</w:t>
            </w:r>
            <w:r w:rsidR="00F6634E" w:rsidRPr="00A21C68">
              <w:t xml:space="preserve">e are </w:t>
            </w:r>
            <w:r w:rsidR="00C1647A" w:rsidRPr="00A21C68">
              <w:t>called ‘</w:t>
            </w:r>
            <w:r w:rsidR="008530F5" w:rsidRPr="00A21C68">
              <w:t>j</w:t>
            </w:r>
            <w:r w:rsidR="00C1647A" w:rsidRPr="00A21C68">
              <w:t xml:space="preserve">igsaw </w:t>
            </w:r>
            <w:r w:rsidR="008530F5" w:rsidRPr="00A21C68">
              <w:t>g</w:t>
            </w:r>
            <w:r w:rsidR="00C1647A" w:rsidRPr="00A21C68">
              <w:t>roups’.</w:t>
            </w:r>
          </w:p>
          <w:p w:rsidR="00C1647A" w:rsidRPr="00A21C68" w:rsidRDefault="00E27F13" w:rsidP="00A21C68">
            <w:pPr>
              <w:pStyle w:val="VCAAtablecondensed"/>
            </w:pPr>
            <w:r w:rsidRPr="00A21C68">
              <w:t>J</w:t>
            </w:r>
            <w:r w:rsidR="00C1647A" w:rsidRPr="00A21C68">
              <w:t xml:space="preserve">igsaw groups are (a) provided with a brief overview of what each of the selected occupations do by </w:t>
            </w:r>
            <w:r w:rsidR="00F6634E" w:rsidRPr="00A21C68">
              <w:t>their</w:t>
            </w:r>
            <w:r w:rsidR="00C1647A" w:rsidRPr="00A21C68">
              <w:t xml:space="preserve"> relevant </w:t>
            </w:r>
            <w:r w:rsidR="008530F5" w:rsidRPr="00A21C68">
              <w:t>e</w:t>
            </w:r>
            <w:r w:rsidR="00C1647A" w:rsidRPr="00A21C68">
              <w:t xml:space="preserve">xpert </w:t>
            </w:r>
            <w:r w:rsidR="008530F5" w:rsidRPr="00A21C68">
              <w:t>g</w:t>
            </w:r>
            <w:r w:rsidR="00C1647A" w:rsidRPr="00A21C68">
              <w:t xml:space="preserve">roup member, and (b) are set the </w:t>
            </w:r>
            <w:r w:rsidR="008530F5" w:rsidRPr="00A21C68">
              <w:t>e</w:t>
            </w:r>
            <w:r w:rsidR="00C1647A" w:rsidRPr="00A21C68">
              <w:t xml:space="preserve">xpert </w:t>
            </w:r>
            <w:r w:rsidR="008530F5" w:rsidRPr="00A21C68">
              <w:t>g</w:t>
            </w:r>
            <w:r w:rsidR="00C1647A" w:rsidRPr="00A21C68">
              <w:t>roup activity or exercise to work through</w:t>
            </w:r>
            <w:r w:rsidR="00F6634E" w:rsidRPr="00A21C68">
              <w:t xml:space="preserve"> together. </w:t>
            </w:r>
            <w:r w:rsidR="008530F5" w:rsidRPr="00A21C68">
              <w:t>Jigsaw g</w:t>
            </w:r>
            <w:r w:rsidR="00F6634E" w:rsidRPr="00A21C68">
              <w:t>roup</w:t>
            </w:r>
            <w:r w:rsidR="008530F5" w:rsidRPr="00A21C68">
              <w:t>s</w:t>
            </w:r>
            <w:r w:rsidR="00F6634E" w:rsidRPr="00A21C68">
              <w:t xml:space="preserve"> record their working out for each </w:t>
            </w:r>
            <w:r w:rsidR="008530F5" w:rsidRPr="00A21C68">
              <w:t>e</w:t>
            </w:r>
            <w:r w:rsidR="00F6634E" w:rsidRPr="00A21C68">
              <w:t xml:space="preserve">xpert </w:t>
            </w:r>
            <w:r w:rsidR="008530F5" w:rsidRPr="00A21C68">
              <w:t>g</w:t>
            </w:r>
            <w:r w:rsidR="00F6634E" w:rsidRPr="00A21C68">
              <w:t>roup problem on separate A3 or butcher’s paper.</w:t>
            </w:r>
          </w:p>
          <w:p w:rsidR="00F6634E" w:rsidRPr="00A21C68" w:rsidRDefault="008530F5" w:rsidP="00A21C68">
            <w:pPr>
              <w:pStyle w:val="VCAAtablecondensed"/>
            </w:pPr>
            <w:r>
              <w:rPr>
                <w:lang w:val="en-AU"/>
              </w:rPr>
              <w:t>Original e</w:t>
            </w:r>
            <w:r w:rsidR="00F6634E">
              <w:rPr>
                <w:lang w:val="en-AU"/>
              </w:rPr>
              <w:t xml:space="preserve">xpert </w:t>
            </w:r>
            <w:r>
              <w:rPr>
                <w:lang w:val="en-AU"/>
              </w:rPr>
              <w:t>g</w:t>
            </w:r>
            <w:r w:rsidR="00F6634E">
              <w:rPr>
                <w:lang w:val="en-AU"/>
              </w:rPr>
              <w:t xml:space="preserve">roups are re-formed </w:t>
            </w:r>
            <w:r>
              <w:rPr>
                <w:lang w:val="en-AU"/>
              </w:rPr>
              <w:t xml:space="preserve">to </w:t>
            </w:r>
            <w:r w:rsidR="00F6634E">
              <w:rPr>
                <w:lang w:val="en-AU"/>
              </w:rPr>
              <w:t xml:space="preserve">review and discuss each </w:t>
            </w:r>
            <w:r>
              <w:rPr>
                <w:lang w:val="en-AU"/>
              </w:rPr>
              <w:t>j</w:t>
            </w:r>
            <w:r w:rsidR="00F6634E">
              <w:rPr>
                <w:lang w:val="en-AU"/>
              </w:rPr>
              <w:t xml:space="preserve">igsaw </w:t>
            </w:r>
            <w:r>
              <w:rPr>
                <w:lang w:val="en-AU"/>
              </w:rPr>
              <w:t>g</w:t>
            </w:r>
            <w:r w:rsidR="00F6634E">
              <w:rPr>
                <w:lang w:val="en-AU"/>
              </w:rPr>
              <w:t xml:space="preserve">roup </w:t>
            </w:r>
            <w:r w:rsidR="00F6634E" w:rsidRPr="00A21C68">
              <w:t xml:space="preserve">response to their problem. </w:t>
            </w:r>
          </w:p>
          <w:p w:rsidR="00F6634E" w:rsidRPr="00AE7F14" w:rsidRDefault="00F6634E" w:rsidP="00A21C68">
            <w:pPr>
              <w:pStyle w:val="VCAAtablecondensed"/>
              <w:rPr>
                <w:lang w:val="en-AU"/>
              </w:rPr>
            </w:pPr>
            <w:r w:rsidRPr="00A21C68">
              <w:t>Teacher leads a class discussion regarding each example, demonstrating correct</w:t>
            </w:r>
            <w:r>
              <w:rPr>
                <w:lang w:val="en-AU"/>
              </w:rPr>
              <w:t xml:space="preserve"> responses. Teacher emphasises the importance of accurate area calculations in a range of professions.</w:t>
            </w:r>
          </w:p>
        </w:tc>
      </w:tr>
    </w:tbl>
    <w:p w:rsidR="00DB533D" w:rsidRDefault="00B51FA6" w:rsidP="00E40CF1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:rsidR="00AE7F14" w:rsidRPr="00026587" w:rsidRDefault="00856A62">
      <w:pPr>
        <w:pStyle w:val="VCAAbullet"/>
      </w:pPr>
      <w:r>
        <w:t>The e</w:t>
      </w:r>
      <w:r w:rsidR="00905092">
        <w:t xml:space="preserve">xpert </w:t>
      </w:r>
      <w:r>
        <w:t>g</w:t>
      </w:r>
      <w:r w:rsidR="00905092">
        <w:t xml:space="preserve">roup phase will need to be closely monitored by </w:t>
      </w:r>
      <w:r w:rsidR="00905092" w:rsidRPr="001E62B0">
        <w:t>teachers</w:t>
      </w:r>
      <w:r w:rsidR="00905092">
        <w:t xml:space="preserve"> to ensure that the example questions are realistically contextualised to occupation and mathematically accessible to their peers</w:t>
      </w:r>
      <w:r w:rsidR="00AE7F14">
        <w:t>.</w:t>
      </w:r>
    </w:p>
    <w:p w:rsidR="00DB533D" w:rsidRDefault="00DB533D" w:rsidP="00E40CF1">
      <w:pPr>
        <w:pStyle w:val="VCAAHeading4"/>
      </w:pPr>
      <w:r>
        <w:t xml:space="preserve">Additional resources to help when adapting the learning activity </w:t>
      </w:r>
    </w:p>
    <w:p w:rsidR="001E62B0" w:rsidRPr="00905092" w:rsidRDefault="00A21C68" w:rsidP="00A21C68">
      <w:pPr>
        <w:pStyle w:val="VCAAbullet"/>
      </w:pPr>
      <w:r>
        <w:t xml:space="preserve">Maths Is Fun, </w:t>
      </w:r>
      <w:hyperlink r:id="rId12" w:history="1">
        <w:r w:rsidRPr="00A21C68">
          <w:rPr>
            <w:rStyle w:val="Hyperlink"/>
          </w:rPr>
          <w:t>Areas of plane shapes</w:t>
        </w:r>
      </w:hyperlink>
      <w:r>
        <w:t xml:space="preserve"> </w:t>
      </w:r>
    </w:p>
    <w:p w:rsidR="002B0572" w:rsidRDefault="001E62B0" w:rsidP="00A21C68">
      <w:pPr>
        <w:pStyle w:val="VCAAbullet"/>
      </w:pPr>
      <w:r>
        <w:t>MathsPathway</w:t>
      </w:r>
      <w:r w:rsidR="00A21C68">
        <w:t xml:space="preserve">, </w:t>
      </w:r>
      <w:hyperlink r:id="rId13" w:history="1">
        <w:r w:rsidR="00A21C68" w:rsidRPr="00A21C68">
          <w:rPr>
            <w:rStyle w:val="Hyperlink"/>
          </w:rPr>
          <w:t xml:space="preserve">Classroom </w:t>
        </w:r>
        <w:r w:rsidR="00A21C68">
          <w:rPr>
            <w:rStyle w:val="Hyperlink"/>
          </w:rPr>
          <w:t>a</w:t>
        </w:r>
        <w:r w:rsidR="00A21C68" w:rsidRPr="00A21C68">
          <w:rPr>
            <w:rStyle w:val="Hyperlink"/>
          </w:rPr>
          <w:t xml:space="preserve">ctivity: Area of a </w:t>
        </w:r>
        <w:r w:rsidR="00A21C68">
          <w:rPr>
            <w:rStyle w:val="Hyperlink"/>
          </w:rPr>
          <w:t>t</w:t>
        </w:r>
        <w:r w:rsidR="00A21C68" w:rsidRPr="00A21C68">
          <w:rPr>
            <w:rStyle w:val="Hyperlink"/>
          </w:rPr>
          <w:t>riangle</w:t>
        </w:r>
      </w:hyperlink>
      <w:r>
        <w:t xml:space="preserve"> </w:t>
      </w:r>
    </w:p>
    <w:p w:rsidR="00AE7F14" w:rsidRPr="00F6634E" w:rsidRDefault="00AE7F14" w:rsidP="00A21C68">
      <w:pPr>
        <w:pStyle w:val="VCAAHeading3"/>
        <w:rPr>
          <w:lang w:val="en" w:eastAsia="en-AU"/>
        </w:rPr>
      </w:pPr>
      <w:r w:rsidRPr="00F6634E">
        <w:rPr>
          <w:lang w:val="en" w:eastAsia="en-AU"/>
        </w:rPr>
        <w:t>Benefits for students</w:t>
      </w:r>
    </w:p>
    <w:p w:rsidR="00AE7F14" w:rsidRPr="00A21C68" w:rsidRDefault="00A21C68">
      <w:pPr>
        <w:pStyle w:val="VCAAbody"/>
      </w:pPr>
      <w:r w:rsidRPr="00A21C68">
        <w:rPr>
          <w:lang w:val="en-AU"/>
        </w:rPr>
        <w:t>Know yourself – self-development</w:t>
      </w:r>
      <w:r w:rsidR="00AE7F14" w:rsidRPr="00AE7F14">
        <w:rPr>
          <w:lang w:val="en-AU"/>
        </w:rPr>
        <w:t xml:space="preserve">: </w:t>
      </w:r>
    </w:p>
    <w:p w:rsidR="00064480" w:rsidRPr="00E451C6" w:rsidRDefault="00064480">
      <w:pPr>
        <w:pStyle w:val="VCAAbullet"/>
      </w:pPr>
      <w:r>
        <w:t xml:space="preserve">By working in different groups of peers to research and report back </w:t>
      </w:r>
      <w:r w:rsidRPr="00E451C6">
        <w:t>on the links between mathematics and an occupation-specific role, students</w:t>
      </w:r>
      <w:r w:rsidR="005C75C9" w:rsidRPr="00E451C6">
        <w:t xml:space="preserve"> use communication skills to</w:t>
      </w:r>
      <w:r w:rsidRPr="00E451C6">
        <w:t xml:space="preserve"> work with others</w:t>
      </w:r>
      <w:r w:rsidR="005C75C9" w:rsidRPr="00E451C6">
        <w:t>.</w:t>
      </w:r>
    </w:p>
    <w:p w:rsidR="00AE7F14" w:rsidRPr="00E451C6" w:rsidRDefault="00064480">
      <w:pPr>
        <w:pStyle w:val="VCAAbullet"/>
      </w:pPr>
      <w:r w:rsidRPr="00E451C6">
        <w:t>By engaging in an activity which requires them to change both team members and activity focus, students learn skills in being adaptable</w:t>
      </w:r>
      <w:r w:rsidR="00AE7F14" w:rsidRPr="00E451C6">
        <w:t>.</w:t>
      </w:r>
    </w:p>
    <w:p w:rsidR="00A21C68" w:rsidRPr="00E451C6" w:rsidRDefault="00A21C68" w:rsidP="00A21C68">
      <w:pPr>
        <w:pStyle w:val="VCAAbody"/>
        <w:rPr>
          <w:rFonts w:eastAsia="Times New Roman"/>
          <w:kern w:val="22"/>
          <w:lang w:val="en-GB" w:eastAsia="ja-JP"/>
        </w:rPr>
      </w:pPr>
      <w:r w:rsidRPr="00E451C6">
        <w:rPr>
          <w:lang w:val="en-AU"/>
        </w:rPr>
        <w:t xml:space="preserve">Know your world – career exploration: </w:t>
      </w:r>
    </w:p>
    <w:p w:rsidR="00A64088" w:rsidRPr="00E451C6" w:rsidRDefault="00064480">
      <w:pPr>
        <w:pStyle w:val="VCAAbullet"/>
      </w:pPr>
      <w:r w:rsidRPr="00E451C6">
        <w:t>When researching an occupation</w:t>
      </w:r>
      <w:r w:rsidR="005C75C9" w:rsidRPr="00E451C6">
        <w:t xml:space="preserve"> </w:t>
      </w:r>
      <w:r w:rsidRPr="00E451C6">
        <w:t>and using this to propose a problem requiring a solution involving mathematics, students use technology effectively to organise and integrate career information.</w:t>
      </w:r>
    </w:p>
    <w:p w:rsidR="00AE7F14" w:rsidRPr="00E451C6" w:rsidRDefault="00610A64">
      <w:pPr>
        <w:pStyle w:val="VCAAbullet"/>
      </w:pPr>
      <w:r w:rsidRPr="00E451C6">
        <w:t>By speculating the ways in which area calculations might be required within specific types of work, students learn to better understand work.</w:t>
      </w:r>
    </w:p>
    <w:p w:rsidR="00AE7F14" w:rsidRPr="00E451C6" w:rsidRDefault="00A21C68" w:rsidP="00A21C68">
      <w:pPr>
        <w:pStyle w:val="VCAAbody"/>
        <w:rPr>
          <w:lang w:val="en-AU"/>
        </w:rPr>
      </w:pPr>
      <w:r w:rsidRPr="00E451C6">
        <w:rPr>
          <w:lang w:val="en-AU"/>
        </w:rPr>
        <w:t>Manage your future – be proactive</w:t>
      </w:r>
      <w:r w:rsidR="00AE7F14" w:rsidRPr="00E451C6">
        <w:rPr>
          <w:lang w:val="en-AU"/>
        </w:rPr>
        <w:t xml:space="preserve">: </w:t>
      </w:r>
    </w:p>
    <w:p w:rsidR="00FA4A59" w:rsidRPr="00610A64" w:rsidRDefault="00610A64">
      <w:pPr>
        <w:pStyle w:val="VCAAbullet"/>
        <w:rPr>
          <w:b/>
          <w:bCs/>
        </w:rPr>
      </w:pPr>
      <w:r w:rsidRPr="00E451C6">
        <w:t xml:space="preserve">When posing and then solving problems involving mathematics within a specific work-related context, students earn to make </w:t>
      </w:r>
      <w:r w:rsidR="00E451C6">
        <w:t>informed</w:t>
      </w:r>
      <w:r w:rsidRPr="00E451C6">
        <w:t xml:space="preserve"> decisions by generating alter</w:t>
      </w:r>
      <w:r>
        <w:t>native pathways and solutions.</w:t>
      </w:r>
    </w:p>
    <w:sectPr w:rsidR="00FA4A59" w:rsidRPr="00610A64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FD" w:rsidRDefault="00D60EFD" w:rsidP="00304EA1">
      <w:pPr>
        <w:spacing w:after="0" w:line="240" w:lineRule="auto"/>
      </w:pPr>
      <w:r>
        <w:separator/>
      </w:r>
    </w:p>
  </w:endnote>
  <w:endnote w:type="continuationSeparator" w:id="0">
    <w:p w:rsidR="00D60EFD" w:rsidRDefault="00D60EF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40B99" w:rsidRPr="00D06414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:rsidR="00C40B99" w:rsidRPr="00D06414" w:rsidRDefault="00C40B9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:rsidR="00C40B99" w:rsidRPr="00D06414" w:rsidRDefault="00C40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:rsidR="00C40B99" w:rsidRPr="00D06414" w:rsidRDefault="00C40B9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325E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:rsidR="00C40B99" w:rsidRPr="00D06414" w:rsidRDefault="00C40B9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40B99" w:rsidRPr="00D06414" w:rsidTr="000F5AAF">
      <w:tc>
        <w:tcPr>
          <w:tcW w:w="1459" w:type="pct"/>
          <w:tcMar>
            <w:left w:w="0" w:type="dxa"/>
            <w:right w:w="0" w:type="dxa"/>
          </w:tcMar>
        </w:tcPr>
        <w:p w:rsidR="00C40B99" w:rsidRPr="00D06414" w:rsidRDefault="00C40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:rsidR="00C40B99" w:rsidRPr="00D06414" w:rsidRDefault="00C40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:rsidR="00C40B99" w:rsidRPr="00D06414" w:rsidRDefault="00C40B9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:rsidR="00C40B99" w:rsidRPr="00D06414" w:rsidRDefault="00C40B9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FD" w:rsidRDefault="00D60EFD" w:rsidP="00304EA1">
      <w:pPr>
        <w:spacing w:after="0" w:line="240" w:lineRule="auto"/>
      </w:pPr>
      <w:r>
        <w:separator/>
      </w:r>
    </w:p>
  </w:footnote>
  <w:footnote w:type="continuationSeparator" w:id="0">
    <w:p w:rsidR="00D60EFD" w:rsidRDefault="00D60EF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99" w:rsidRPr="0038622E" w:rsidRDefault="00C40B99" w:rsidP="0038622E">
    <w:pPr>
      <w:pStyle w:val="VCAAbody"/>
      <w:rPr>
        <w:color w:val="0F7EB4"/>
      </w:rPr>
    </w:pPr>
    <w:r>
      <w:t>Embedding career education in the Victorian Curriculum F–10 – Mathematics, Level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99" w:rsidRPr="009370BC" w:rsidRDefault="00C40B9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C8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8B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05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8C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0C1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6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46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67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6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60B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F9082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49AECFE"/>
    <w:lvl w:ilvl="0" w:tplc="5E00786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71C60601"/>
    <w:multiLevelType w:val="hybridMultilevel"/>
    <w:tmpl w:val="507877FC"/>
    <w:lvl w:ilvl="0" w:tplc="C38099C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6499F"/>
    <w:multiLevelType w:val="multilevel"/>
    <w:tmpl w:val="56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17A7"/>
    <w:rsid w:val="000443B8"/>
    <w:rsid w:val="0005780E"/>
    <w:rsid w:val="00064480"/>
    <w:rsid w:val="00065CC6"/>
    <w:rsid w:val="00072AF1"/>
    <w:rsid w:val="0008537B"/>
    <w:rsid w:val="00086CFC"/>
    <w:rsid w:val="00097F58"/>
    <w:rsid w:val="000A71F7"/>
    <w:rsid w:val="000B152F"/>
    <w:rsid w:val="000F09E4"/>
    <w:rsid w:val="000F16FD"/>
    <w:rsid w:val="000F5AAF"/>
    <w:rsid w:val="00101B9F"/>
    <w:rsid w:val="0012374D"/>
    <w:rsid w:val="00143520"/>
    <w:rsid w:val="001530DB"/>
    <w:rsid w:val="00153AD2"/>
    <w:rsid w:val="001779EA"/>
    <w:rsid w:val="001926FE"/>
    <w:rsid w:val="001A39A9"/>
    <w:rsid w:val="001B5D34"/>
    <w:rsid w:val="001D3246"/>
    <w:rsid w:val="001E62B0"/>
    <w:rsid w:val="001F31F7"/>
    <w:rsid w:val="001F5D88"/>
    <w:rsid w:val="00221EE3"/>
    <w:rsid w:val="002279BA"/>
    <w:rsid w:val="002329F3"/>
    <w:rsid w:val="00243F0D"/>
    <w:rsid w:val="00254888"/>
    <w:rsid w:val="00255852"/>
    <w:rsid w:val="00256D25"/>
    <w:rsid w:val="00260767"/>
    <w:rsid w:val="002647BB"/>
    <w:rsid w:val="002754C1"/>
    <w:rsid w:val="002817EA"/>
    <w:rsid w:val="002841C8"/>
    <w:rsid w:val="0028516B"/>
    <w:rsid w:val="002B0572"/>
    <w:rsid w:val="002B103A"/>
    <w:rsid w:val="002C6F90"/>
    <w:rsid w:val="002E4FB5"/>
    <w:rsid w:val="00302FB8"/>
    <w:rsid w:val="00304EA1"/>
    <w:rsid w:val="00314D81"/>
    <w:rsid w:val="00322FC6"/>
    <w:rsid w:val="0035003C"/>
    <w:rsid w:val="0035293F"/>
    <w:rsid w:val="0038622E"/>
    <w:rsid w:val="00391986"/>
    <w:rsid w:val="00392864"/>
    <w:rsid w:val="003A00B4"/>
    <w:rsid w:val="003C3008"/>
    <w:rsid w:val="003C394F"/>
    <w:rsid w:val="003C5E71"/>
    <w:rsid w:val="003D5D15"/>
    <w:rsid w:val="00411D26"/>
    <w:rsid w:val="00417AA3"/>
    <w:rsid w:val="00421DB1"/>
    <w:rsid w:val="00425DFE"/>
    <w:rsid w:val="00425FD1"/>
    <w:rsid w:val="00434EDB"/>
    <w:rsid w:val="00440B32"/>
    <w:rsid w:val="00451B11"/>
    <w:rsid w:val="00457521"/>
    <w:rsid w:val="0046078D"/>
    <w:rsid w:val="00495C80"/>
    <w:rsid w:val="004A1D37"/>
    <w:rsid w:val="004A2ED8"/>
    <w:rsid w:val="004D06FB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B391B"/>
    <w:rsid w:val="005C4DA4"/>
    <w:rsid w:val="005C75C9"/>
    <w:rsid w:val="005D3D78"/>
    <w:rsid w:val="005D7236"/>
    <w:rsid w:val="005E2EF0"/>
    <w:rsid w:val="005F4092"/>
    <w:rsid w:val="00610518"/>
    <w:rsid w:val="00610A64"/>
    <w:rsid w:val="00622596"/>
    <w:rsid w:val="00635C86"/>
    <w:rsid w:val="00675D4E"/>
    <w:rsid w:val="0068471E"/>
    <w:rsid w:val="00684F98"/>
    <w:rsid w:val="00693FFD"/>
    <w:rsid w:val="006D2159"/>
    <w:rsid w:val="006F17B9"/>
    <w:rsid w:val="006F787C"/>
    <w:rsid w:val="00702636"/>
    <w:rsid w:val="00710C7E"/>
    <w:rsid w:val="00724507"/>
    <w:rsid w:val="007623B9"/>
    <w:rsid w:val="00773E6C"/>
    <w:rsid w:val="00781FB1"/>
    <w:rsid w:val="007A0E4B"/>
    <w:rsid w:val="007B3CFD"/>
    <w:rsid w:val="007B4B09"/>
    <w:rsid w:val="007D1B6D"/>
    <w:rsid w:val="007E3C54"/>
    <w:rsid w:val="007E7D1F"/>
    <w:rsid w:val="00813C37"/>
    <w:rsid w:val="008154B5"/>
    <w:rsid w:val="00823962"/>
    <w:rsid w:val="00852719"/>
    <w:rsid w:val="008530F5"/>
    <w:rsid w:val="00856A62"/>
    <w:rsid w:val="00860115"/>
    <w:rsid w:val="00867A97"/>
    <w:rsid w:val="0088783C"/>
    <w:rsid w:val="008B1278"/>
    <w:rsid w:val="008C0A84"/>
    <w:rsid w:val="008D0ABF"/>
    <w:rsid w:val="008D57CA"/>
    <w:rsid w:val="008E7EFC"/>
    <w:rsid w:val="00905092"/>
    <w:rsid w:val="00905484"/>
    <w:rsid w:val="00913B69"/>
    <w:rsid w:val="00933280"/>
    <w:rsid w:val="0093664A"/>
    <w:rsid w:val="009370BC"/>
    <w:rsid w:val="00970580"/>
    <w:rsid w:val="0098739B"/>
    <w:rsid w:val="009A6109"/>
    <w:rsid w:val="009B4350"/>
    <w:rsid w:val="009B61E5"/>
    <w:rsid w:val="009D1E89"/>
    <w:rsid w:val="009E5707"/>
    <w:rsid w:val="009F7086"/>
    <w:rsid w:val="00A0030A"/>
    <w:rsid w:val="00A00F74"/>
    <w:rsid w:val="00A13223"/>
    <w:rsid w:val="00A17661"/>
    <w:rsid w:val="00A21C68"/>
    <w:rsid w:val="00A24B2D"/>
    <w:rsid w:val="00A25D1D"/>
    <w:rsid w:val="00A27DCD"/>
    <w:rsid w:val="00A40966"/>
    <w:rsid w:val="00A50E81"/>
    <w:rsid w:val="00A64088"/>
    <w:rsid w:val="00A921E0"/>
    <w:rsid w:val="00A922F4"/>
    <w:rsid w:val="00AD59D5"/>
    <w:rsid w:val="00AE5526"/>
    <w:rsid w:val="00AE7F14"/>
    <w:rsid w:val="00AF051B"/>
    <w:rsid w:val="00B01578"/>
    <w:rsid w:val="00B0738F"/>
    <w:rsid w:val="00B13D3B"/>
    <w:rsid w:val="00B230DB"/>
    <w:rsid w:val="00B26601"/>
    <w:rsid w:val="00B30CEE"/>
    <w:rsid w:val="00B30E01"/>
    <w:rsid w:val="00B325EC"/>
    <w:rsid w:val="00B41951"/>
    <w:rsid w:val="00B51FA6"/>
    <w:rsid w:val="00B53229"/>
    <w:rsid w:val="00B62480"/>
    <w:rsid w:val="00B74D78"/>
    <w:rsid w:val="00B81B70"/>
    <w:rsid w:val="00B87825"/>
    <w:rsid w:val="00BB3BAB"/>
    <w:rsid w:val="00BD0724"/>
    <w:rsid w:val="00BD2B91"/>
    <w:rsid w:val="00BE5521"/>
    <w:rsid w:val="00BF26C3"/>
    <w:rsid w:val="00BF6C23"/>
    <w:rsid w:val="00C13A72"/>
    <w:rsid w:val="00C1647A"/>
    <w:rsid w:val="00C2005D"/>
    <w:rsid w:val="00C40B99"/>
    <w:rsid w:val="00C43260"/>
    <w:rsid w:val="00C53263"/>
    <w:rsid w:val="00C61D41"/>
    <w:rsid w:val="00C6415E"/>
    <w:rsid w:val="00C75F1D"/>
    <w:rsid w:val="00C873CD"/>
    <w:rsid w:val="00C95156"/>
    <w:rsid w:val="00CA0DC2"/>
    <w:rsid w:val="00CA112D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6764"/>
    <w:rsid w:val="00D60EFD"/>
    <w:rsid w:val="00D77413"/>
    <w:rsid w:val="00D82759"/>
    <w:rsid w:val="00D82EF3"/>
    <w:rsid w:val="00D86DE4"/>
    <w:rsid w:val="00DB3546"/>
    <w:rsid w:val="00DB533D"/>
    <w:rsid w:val="00DE1909"/>
    <w:rsid w:val="00DE47E8"/>
    <w:rsid w:val="00DE51DB"/>
    <w:rsid w:val="00E23F1D"/>
    <w:rsid w:val="00E27F13"/>
    <w:rsid w:val="00E30E05"/>
    <w:rsid w:val="00E332ED"/>
    <w:rsid w:val="00E36361"/>
    <w:rsid w:val="00E40CF1"/>
    <w:rsid w:val="00E451C6"/>
    <w:rsid w:val="00E54E35"/>
    <w:rsid w:val="00E55AE9"/>
    <w:rsid w:val="00E56D1D"/>
    <w:rsid w:val="00E9592C"/>
    <w:rsid w:val="00EA2830"/>
    <w:rsid w:val="00EB0C84"/>
    <w:rsid w:val="00EB4EE0"/>
    <w:rsid w:val="00EE6F13"/>
    <w:rsid w:val="00EF1E25"/>
    <w:rsid w:val="00F01253"/>
    <w:rsid w:val="00F17FDE"/>
    <w:rsid w:val="00F40D53"/>
    <w:rsid w:val="00F4525C"/>
    <w:rsid w:val="00F50D86"/>
    <w:rsid w:val="00F6610F"/>
    <w:rsid w:val="00F6634E"/>
    <w:rsid w:val="00F83515"/>
    <w:rsid w:val="00FA4A59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DDE94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62B0"/>
    <w:pPr>
      <w:numPr>
        <w:numId w:val="1"/>
      </w:numPr>
      <w:tabs>
        <w:tab w:val="left" w:pos="425"/>
      </w:tabs>
      <w:spacing w:line="240" w:lineRule="auto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030A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bI-eZ2q2h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thsisfun.com/area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MMG25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615B-5870-4913-9C4F-D206A7B81B02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d59324-8a5b-4fea-a16a-e617e0fe1c9b"/>
    <ds:schemaRef ds:uri="http://purl.org/dc/terms/"/>
    <ds:schemaRef ds:uri="http://schemas.openxmlformats.org/package/2006/metadata/core-properties"/>
    <ds:schemaRef ds:uri="2face8be-d942-4633-89c5-b9c9b61198f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0EDEC4-E747-4371-9FCC-36640E7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mathematics</cp:keywords>
  <cp:lastModifiedBy>Witt, Kylie I</cp:lastModifiedBy>
  <cp:revision>3</cp:revision>
  <cp:lastPrinted>2020-03-04T04:43:00Z</cp:lastPrinted>
  <dcterms:created xsi:type="dcterms:W3CDTF">2020-08-17T07:39:00Z</dcterms:created>
  <dcterms:modified xsi:type="dcterms:W3CDTF">2020-08-26T04:48:00Z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