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C30E4" w14:textId="7C529813" w:rsidR="00086CFC" w:rsidRDefault="00C2005D" w:rsidP="007E7D1F">
      <w:pPr>
        <w:pStyle w:val="VCAAHeading1"/>
        <w:spacing w:before="360"/>
      </w:pPr>
      <w:r>
        <w:t>E</w:t>
      </w:r>
      <w:r w:rsidR="00E56D1D">
        <w:t>m</w:t>
      </w:r>
      <w:r w:rsidR="007E7D1F">
        <w:t xml:space="preserve">bedding career education in </w:t>
      </w:r>
      <w:r w:rsidR="00E56D1D">
        <w:t>the Victorian Curriculum F–10</w:t>
      </w:r>
      <w:r w:rsidR="00086CFC">
        <w:t xml:space="preserve"> </w:t>
      </w:r>
    </w:p>
    <w:p w14:paraId="309AA2D5" w14:textId="478039DA" w:rsidR="004F6DE0" w:rsidRPr="008C0A84" w:rsidRDefault="004F6DE0" w:rsidP="004F6DE0">
      <w:pPr>
        <w:pStyle w:val="VCAAHeading2"/>
        <w:rPr>
          <w:lang w:val="en-AU"/>
        </w:rPr>
      </w:pPr>
      <w:bookmarkStart w:id="0" w:name="TemplateOverview"/>
      <w:bookmarkEnd w:id="0"/>
      <w:r w:rsidRPr="008C0A84">
        <w:rPr>
          <w:lang w:val="en-AU"/>
        </w:rPr>
        <w:t xml:space="preserve">Music, Levels </w:t>
      </w:r>
      <w:r w:rsidR="00DB10FE">
        <w:rPr>
          <w:lang w:val="en-AU"/>
        </w:rPr>
        <w:t>1</w:t>
      </w:r>
      <w:r w:rsidRPr="008C0A84">
        <w:rPr>
          <w:lang w:val="en-AU"/>
        </w:rPr>
        <w:t xml:space="preserve"> and </w:t>
      </w:r>
      <w:r w:rsidR="00DB10FE">
        <w:rPr>
          <w:lang w:val="en-AU"/>
        </w:rPr>
        <w:t>2</w:t>
      </w:r>
    </w:p>
    <w:p w14:paraId="2E354ED1" w14:textId="07A11049"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051F2C49" w:rsidR="008B1278" w:rsidRPr="0005642C" w:rsidRDefault="008B1278" w:rsidP="00E60E57">
      <w:pPr>
        <w:pStyle w:val="VCAAbody-withlargetabandhangingindent"/>
      </w:pPr>
      <w:r w:rsidRPr="00580AC5">
        <w:rPr>
          <w:b/>
          <w:bCs/>
        </w:rPr>
        <w:t>Curriculum area and levels:</w:t>
      </w:r>
      <w:r w:rsidRPr="00580AC5">
        <w:tab/>
        <w:t xml:space="preserve">Music, Levels </w:t>
      </w:r>
      <w:r w:rsidR="00DB10FE" w:rsidRPr="00580AC5">
        <w:t>1</w:t>
      </w:r>
      <w:r w:rsidRPr="0005642C">
        <w:t xml:space="preserve"> and </w:t>
      </w:r>
      <w:r w:rsidR="00DB10FE" w:rsidRPr="0005642C">
        <w:t>2</w:t>
      </w:r>
    </w:p>
    <w:p w14:paraId="13C77FA5" w14:textId="6E970210" w:rsidR="00DB10FE" w:rsidRPr="008C0A84" w:rsidRDefault="00254888" w:rsidP="00DB10FE">
      <w:pPr>
        <w:pStyle w:val="VCAAbody-withlargetabandhangingindent"/>
        <w:rPr>
          <w:rStyle w:val="Hyperlink"/>
          <w:color w:val="000000" w:themeColor="text1"/>
          <w:u w:val="none"/>
        </w:rPr>
      </w:pPr>
      <w:r w:rsidRPr="008C0A84">
        <w:rPr>
          <w:b/>
        </w:rPr>
        <w:t>Relevant c</w:t>
      </w:r>
      <w:r w:rsidR="008B1278" w:rsidRPr="008C0A84">
        <w:rPr>
          <w:b/>
        </w:rPr>
        <w:t>ontent description:</w:t>
      </w:r>
      <w:r w:rsidR="008B1278" w:rsidRPr="008C0A84">
        <w:tab/>
      </w:r>
      <w:r w:rsidR="00DB10FE" w:rsidRPr="00FD438F">
        <w:rPr>
          <w:color w:val="auto"/>
          <w:szCs w:val="20"/>
          <w:shd w:val="clear" w:color="auto" w:fill="FFFFFF"/>
        </w:rPr>
        <w:t>Sing and play instruments to improvise, compose and practise a repertoire of chants, songs and rhymes, including those used by cultural groups in the local community</w:t>
      </w:r>
      <w:r w:rsidR="00DB10FE" w:rsidRPr="00FD438F">
        <w:rPr>
          <w:color w:val="auto"/>
          <w:szCs w:val="20"/>
        </w:rPr>
        <w:t xml:space="preserve"> </w:t>
      </w:r>
      <w:r w:rsidR="000D79AC">
        <w:rPr>
          <w:color w:val="auto"/>
          <w:szCs w:val="20"/>
        </w:rPr>
        <w:t>(</w:t>
      </w:r>
      <w:hyperlink r:id="rId11" w:history="1">
        <w:r w:rsidR="000D79AC" w:rsidRPr="000D79AC">
          <w:rPr>
            <w:rStyle w:val="Hyperlink"/>
            <w:szCs w:val="20"/>
          </w:rPr>
          <w:t>VCAMUM022</w:t>
        </w:r>
      </w:hyperlink>
      <w:r w:rsidR="000D79AC">
        <w:t>)</w:t>
      </w:r>
    </w:p>
    <w:p w14:paraId="36A2C730" w14:textId="48FA6BE7"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DB10FE">
        <w:t>Using movement and body percussion to create accompaniments for songs, chant</w:t>
      </w:r>
      <w:r w:rsidR="00313600">
        <w:t>s</w:t>
      </w:r>
      <w:r w:rsidR="00DB10FE">
        <w:t xml:space="preserve"> and rhymes</w:t>
      </w:r>
      <w:r w:rsidR="00313600">
        <w:t>.</w:t>
      </w:r>
    </w:p>
    <w:p w14:paraId="2364A01C" w14:textId="505FDFCF" w:rsidR="00421DB1" w:rsidRPr="008C0A84" w:rsidRDefault="00421DB1" w:rsidP="00B51FA6">
      <w:pPr>
        <w:pStyle w:val="VCAAbody-withlargetabandhangingindent"/>
      </w:pPr>
      <w:r w:rsidRPr="00E60E57">
        <w:rPr>
          <w:b/>
          <w:bCs/>
        </w:rPr>
        <w:t>Summary of adaptation, change, addition:</w:t>
      </w:r>
      <w:r>
        <w:tab/>
      </w:r>
      <w:r w:rsidR="000C3308">
        <w:rPr>
          <w:color w:val="auto"/>
        </w:rPr>
        <w:t>Extending the activity to explore</w:t>
      </w:r>
      <w:r w:rsidR="00E60E57">
        <w:rPr>
          <w:color w:val="auto"/>
        </w:rPr>
        <w:t xml:space="preserve"> the work of composers and musicians, and the idea of forms of communication.</w:t>
      </w:r>
    </w:p>
    <w:p w14:paraId="65DFB73F" w14:textId="002E05FF" w:rsidR="00254888"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114"/>
        <w:gridCol w:w="6775"/>
      </w:tblGrid>
      <w:tr w:rsidR="00254888" w:rsidRPr="008C0A84" w14:paraId="47FFE019" w14:textId="77777777" w:rsidTr="00E60E57">
        <w:trPr>
          <w:cnfStyle w:val="100000000000" w:firstRow="1" w:lastRow="0" w:firstColumn="0" w:lastColumn="0" w:oddVBand="0" w:evenVBand="0" w:oddHBand="0" w:evenHBand="0" w:firstRowFirstColumn="0" w:firstRowLastColumn="0" w:lastRowFirstColumn="0" w:lastRowLastColumn="0"/>
        </w:trPr>
        <w:tc>
          <w:tcPr>
            <w:tcW w:w="3114"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6775"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E60E57">
        <w:tc>
          <w:tcPr>
            <w:tcW w:w="3114" w:type="dxa"/>
          </w:tcPr>
          <w:p w14:paraId="46A85701" w14:textId="2069CB28" w:rsidR="00254888" w:rsidRPr="00FF68E8" w:rsidRDefault="00CE62A1" w:rsidP="00580AC5">
            <w:pPr>
              <w:pStyle w:val="VCAAtablecondensed"/>
              <w:rPr>
                <w:lang w:val="en-AU"/>
              </w:rPr>
            </w:pPr>
            <w:r w:rsidRPr="00FF68E8">
              <w:t xml:space="preserve">Teacher introduces a new song while keeping a steady beat. Students move (stamp, clap, click) in time to the song. </w:t>
            </w:r>
            <w:r w:rsidR="009763BD" w:rsidRPr="00FF68E8">
              <w:t>S</w:t>
            </w:r>
            <w:r w:rsidRPr="00FF68E8">
              <w:t>tudents match the teachers’ singing voice (pitch) and sing in time (beat).</w:t>
            </w:r>
          </w:p>
        </w:tc>
        <w:tc>
          <w:tcPr>
            <w:tcW w:w="6775" w:type="dxa"/>
          </w:tcPr>
          <w:p w14:paraId="552A469D" w14:textId="00C0818B" w:rsidR="004A4761" w:rsidRDefault="00F35AAA" w:rsidP="003E58A9">
            <w:pPr>
              <w:pStyle w:val="VCAAtablecondensed"/>
            </w:pPr>
            <w:r>
              <w:t>Teacher leads a discussion about how people change the way they communicate based on the audience</w:t>
            </w:r>
            <w:r w:rsidR="00BF1637">
              <w:t>, including changing content,</w:t>
            </w:r>
            <w:r w:rsidR="00D567C4">
              <w:t xml:space="preserve"> and highlights that this will happen throughout life</w:t>
            </w:r>
            <w:r>
              <w:t xml:space="preserve">. For example, we speak differently to our parents than we do to our </w:t>
            </w:r>
            <w:r w:rsidR="00C4146D">
              <w:t>friends</w:t>
            </w:r>
            <w:r>
              <w:t>.</w:t>
            </w:r>
            <w:r w:rsidR="00C4146D">
              <w:t xml:space="preserve"> Teacher encourages students to think of their own examples.</w:t>
            </w:r>
            <w:r>
              <w:t xml:space="preserve"> </w:t>
            </w:r>
          </w:p>
          <w:p w14:paraId="1228EB56" w14:textId="6D332171" w:rsidR="008C40F1" w:rsidRDefault="004A4761">
            <w:pPr>
              <w:pStyle w:val="VCAAtablecondensed"/>
            </w:pPr>
            <w:r>
              <w:t xml:space="preserve">Teacher explains that communication can be verbal but also physical – body language is an important part of how we communicate. For example, if an audience is fidgeting and looking around the room during a performance, this might mean the audience is bored and not interested. Teacher </w:t>
            </w:r>
            <w:proofErr w:type="spellStart"/>
            <w:r>
              <w:t>emphasises</w:t>
            </w:r>
            <w:proofErr w:type="spellEnd"/>
            <w:r>
              <w:t xml:space="preserve"> that body language will be important throughout life, including in work contexts. Students brainstorm examples of body language to communicate different emotions and levels of engagement and appreciation. This can be </w:t>
            </w:r>
            <w:proofErr w:type="spellStart"/>
            <w:r>
              <w:t>generalised</w:t>
            </w:r>
            <w:proofErr w:type="spellEnd"/>
            <w:r>
              <w:t xml:space="preserve"> for everyday situations or tied specifically to a performer and audience. For example, how do performers show they have finished a performance (e.g. they bow) and how does an audience show they loved a performance (e.g. a standing ovation)?</w:t>
            </w:r>
          </w:p>
          <w:p w14:paraId="092660B4" w14:textId="7B531B4A" w:rsidR="00457521" w:rsidRPr="00EB2348" w:rsidRDefault="00BC1B05" w:rsidP="00E60E57">
            <w:pPr>
              <w:pStyle w:val="VCAAtablecondensed"/>
            </w:pPr>
            <w:r>
              <w:t>Through the consideration of how people communicate</w:t>
            </w:r>
            <w:r w:rsidR="000C3308">
              <w:t>, and how this is adjusted depending on the audience</w:t>
            </w:r>
            <w:r>
              <w:t xml:space="preserve">, students begin to think creatively about how </w:t>
            </w:r>
            <w:r w:rsidR="000C3308">
              <w:t>verbal and non-verbal communication</w:t>
            </w:r>
            <w:r>
              <w:t xml:space="preserve"> is </w:t>
            </w:r>
            <w:r w:rsidR="000C3308">
              <w:t>already a part of their lives and something that will be relevant to their futures.</w:t>
            </w:r>
          </w:p>
        </w:tc>
      </w:tr>
      <w:tr w:rsidR="00254888" w:rsidRPr="008C0A84" w14:paraId="47C09381" w14:textId="77777777" w:rsidTr="00E60E57">
        <w:tc>
          <w:tcPr>
            <w:tcW w:w="3114" w:type="dxa"/>
          </w:tcPr>
          <w:p w14:paraId="123E135F" w14:textId="26860E6F" w:rsidR="00254888" w:rsidRPr="00FF68E8" w:rsidRDefault="00CE62A1" w:rsidP="00580AC5">
            <w:pPr>
              <w:pStyle w:val="VCAAtablecondensed"/>
              <w:rPr>
                <w:lang w:val="en-AU"/>
              </w:rPr>
            </w:pPr>
            <w:r w:rsidRPr="00FF68E8">
              <w:t xml:space="preserve">Teacher </w:t>
            </w:r>
            <w:r w:rsidR="00295695" w:rsidRPr="00FF68E8">
              <w:t>models some examples of percussion patterns to accompany the song</w:t>
            </w:r>
            <w:r w:rsidRPr="00FF68E8">
              <w:t xml:space="preserve">. This could include a repeated </w:t>
            </w:r>
            <w:r w:rsidRPr="00FF68E8">
              <w:lastRenderedPageBreak/>
              <w:t>drum pattern using crotchets and quavers, a drone (</w:t>
            </w:r>
            <w:r w:rsidR="009763BD" w:rsidRPr="00FF68E8">
              <w:t xml:space="preserve">repeated </w:t>
            </w:r>
            <w:r w:rsidRPr="00FF68E8">
              <w:t>single note) played on a xylophone</w:t>
            </w:r>
            <w:r w:rsidR="00295695">
              <w:t>,</w:t>
            </w:r>
            <w:r w:rsidRPr="00FF68E8">
              <w:t xml:space="preserve"> and/or </w:t>
            </w:r>
            <w:r w:rsidR="009763BD" w:rsidRPr="00FF68E8">
              <w:t>other</w:t>
            </w:r>
            <w:r w:rsidRPr="00FF68E8">
              <w:t xml:space="preserve"> percussion </w:t>
            </w:r>
            <w:r w:rsidR="004006AB">
              <w:t>instruments</w:t>
            </w:r>
            <w:r w:rsidRPr="00FF68E8">
              <w:t>.</w:t>
            </w:r>
          </w:p>
        </w:tc>
        <w:tc>
          <w:tcPr>
            <w:tcW w:w="6775" w:type="dxa"/>
          </w:tcPr>
          <w:p w14:paraId="049F207C" w14:textId="2EA9D3A5" w:rsidR="001A3043" w:rsidRDefault="001A3043" w:rsidP="003E58A9">
            <w:pPr>
              <w:pStyle w:val="VCAAtablecondensed"/>
            </w:pPr>
            <w:r w:rsidRPr="00FF68E8">
              <w:lastRenderedPageBreak/>
              <w:t>Teache</w:t>
            </w:r>
            <w:r w:rsidR="00BC1B05">
              <w:t>r uses the examples of percussion patterns to segue into a discussion of the work that composers and musicians do</w:t>
            </w:r>
            <w:r w:rsidR="008B3D81">
              <w:t xml:space="preserve">. Teacher may have to unpack the work of composers and </w:t>
            </w:r>
            <w:proofErr w:type="gramStart"/>
            <w:r w:rsidR="008B3D81">
              <w:t>musicians, and</w:t>
            </w:r>
            <w:proofErr w:type="gramEnd"/>
            <w:r w:rsidR="008B3D81">
              <w:t xml:space="preserve"> should</w:t>
            </w:r>
            <w:r w:rsidR="00E24B03">
              <w:t xml:space="preserve"> </w:t>
            </w:r>
            <w:r w:rsidRPr="00FF68E8">
              <w:t xml:space="preserve">explain that composers </w:t>
            </w:r>
            <w:r>
              <w:t xml:space="preserve">and musicians </w:t>
            </w:r>
            <w:r w:rsidRPr="00FF68E8">
              <w:t xml:space="preserve">often collaborate and </w:t>
            </w:r>
            <w:r w:rsidRPr="00FF68E8">
              <w:lastRenderedPageBreak/>
              <w:t xml:space="preserve">share ideas when writing music. </w:t>
            </w:r>
            <w:r w:rsidR="00BC1B05">
              <w:t>Teacher can link this to the idea of communication previously introduced.</w:t>
            </w:r>
          </w:p>
          <w:p w14:paraId="7279DA82" w14:textId="5DDE00D8" w:rsidR="00072AF1" w:rsidRPr="00FF68E8" w:rsidRDefault="00CE62A1" w:rsidP="00580AC5">
            <w:pPr>
              <w:pStyle w:val="VCAAtablecondensed"/>
            </w:pPr>
            <w:r w:rsidRPr="00FF68E8">
              <w:t xml:space="preserve">Students </w:t>
            </w:r>
            <w:r w:rsidR="00FC0391" w:rsidRPr="00FF68E8">
              <w:t xml:space="preserve">work in groups to </w:t>
            </w:r>
            <w:r w:rsidRPr="00FF68E8">
              <w:t>create their own patterns</w:t>
            </w:r>
            <w:r w:rsidR="00495C79">
              <w:t xml:space="preserve"> within the song</w:t>
            </w:r>
            <w:r w:rsidRPr="00FF68E8">
              <w:t>, becoming ‘composers’.</w:t>
            </w:r>
            <w:r w:rsidR="000C3308">
              <w:t xml:space="preserve"> Teacher encourages students to </w:t>
            </w:r>
            <w:proofErr w:type="spellStart"/>
            <w:r w:rsidR="000C3308">
              <w:t>practise</w:t>
            </w:r>
            <w:proofErr w:type="spellEnd"/>
            <w:r w:rsidR="000C3308">
              <w:t xml:space="preserve"> their communication skills as they share their ideas in groups.</w:t>
            </w:r>
          </w:p>
        </w:tc>
      </w:tr>
      <w:tr w:rsidR="00CE62A1" w:rsidRPr="008C0A84" w14:paraId="3F7C9F0C" w14:textId="77777777" w:rsidTr="00E60E57">
        <w:tc>
          <w:tcPr>
            <w:tcW w:w="3114" w:type="dxa"/>
            <w:tcBorders>
              <w:bottom w:val="single" w:sz="4" w:space="0" w:color="auto"/>
            </w:tcBorders>
          </w:tcPr>
          <w:p w14:paraId="446FB8DB" w14:textId="65D329B4" w:rsidR="00CE62A1" w:rsidRPr="00FF68E8" w:rsidRDefault="00CE62A1" w:rsidP="00580AC5">
            <w:pPr>
              <w:pStyle w:val="VCAAtablecondensed"/>
              <w:rPr>
                <w:lang w:val="en-AU"/>
              </w:rPr>
            </w:pPr>
            <w:r w:rsidRPr="00FF68E8">
              <w:rPr>
                <w:szCs w:val="18"/>
                <w:lang w:val="en-AU"/>
              </w:rPr>
              <w:lastRenderedPageBreak/>
              <w:t>Teacher rehearses the song with students as they play a percussion pattern taught by the teacher.</w:t>
            </w:r>
          </w:p>
        </w:tc>
        <w:tc>
          <w:tcPr>
            <w:tcW w:w="6775" w:type="dxa"/>
            <w:tcBorders>
              <w:bottom w:val="single" w:sz="4" w:space="0" w:color="auto"/>
            </w:tcBorders>
          </w:tcPr>
          <w:p w14:paraId="0D137BAF" w14:textId="4AEC5CFE" w:rsidR="00CE62A1" w:rsidRPr="00FF68E8" w:rsidRDefault="00251556">
            <w:pPr>
              <w:pStyle w:val="VCAAtablecondensed"/>
              <w:rPr>
                <w:color w:val="auto"/>
                <w:lang w:val="en-AU"/>
              </w:rPr>
            </w:pPr>
            <w:r>
              <w:rPr>
                <w:color w:val="auto"/>
                <w:lang w:val="en-AU"/>
              </w:rPr>
              <w:t>Existing activity runs unchanged.</w:t>
            </w:r>
          </w:p>
        </w:tc>
      </w:tr>
      <w:tr w:rsidR="00CE62A1" w:rsidRPr="008C0A84" w14:paraId="63793E0F" w14:textId="77777777" w:rsidTr="00E60E57">
        <w:tc>
          <w:tcPr>
            <w:tcW w:w="3114" w:type="dxa"/>
          </w:tcPr>
          <w:p w14:paraId="7674DB26" w14:textId="27900B97" w:rsidR="00CE62A1" w:rsidRPr="00FF68E8" w:rsidRDefault="00CE62A1" w:rsidP="00580AC5">
            <w:pPr>
              <w:pStyle w:val="VCAAtablecondensed"/>
              <w:rPr>
                <w:lang w:val="en-AU"/>
              </w:rPr>
            </w:pPr>
            <w:r w:rsidRPr="00FF68E8">
              <w:t>Teacher provides feedback to the class about their ability to sing in tune and stay in time.</w:t>
            </w:r>
          </w:p>
        </w:tc>
        <w:tc>
          <w:tcPr>
            <w:tcW w:w="6775" w:type="dxa"/>
          </w:tcPr>
          <w:p w14:paraId="4819CD95" w14:textId="7AB6061F" w:rsidR="00FD438F" w:rsidRDefault="00BA0087">
            <w:pPr>
              <w:pStyle w:val="VCAAtablecondensed"/>
            </w:pPr>
            <w:r>
              <w:t>S</w:t>
            </w:r>
            <w:r w:rsidR="00B07B41" w:rsidRPr="00FF68E8">
              <w:t xml:space="preserve">tudents </w:t>
            </w:r>
            <w:r>
              <w:t xml:space="preserve">perform their new song to the class. They should </w:t>
            </w:r>
            <w:r w:rsidR="00B07B41" w:rsidRPr="00FF68E8">
              <w:t xml:space="preserve">introduce their work </w:t>
            </w:r>
            <w:r w:rsidR="00565867" w:rsidRPr="00FF68E8">
              <w:t xml:space="preserve">before performing </w:t>
            </w:r>
            <w:r>
              <w:t xml:space="preserve">– teacher highlights that this is a good </w:t>
            </w:r>
            <w:r w:rsidR="00B07B41" w:rsidRPr="00FF68E8">
              <w:t>communication skill.</w:t>
            </w:r>
            <w:r w:rsidR="00565867" w:rsidRPr="00FF68E8">
              <w:t xml:space="preserve"> Students are encouraged to speak clearly and use appropriate music language</w:t>
            </w:r>
            <w:r w:rsidR="00923974" w:rsidRPr="00FF68E8">
              <w:t>.</w:t>
            </w:r>
            <w:r w:rsidR="00B07B41" w:rsidRPr="00FF68E8">
              <w:t xml:space="preserve"> </w:t>
            </w:r>
            <w:r w:rsidR="001B2EF8">
              <w:t>Students in the audience should be aware of their body language and what they are trying to communicate</w:t>
            </w:r>
            <w:r w:rsidR="0006693A">
              <w:t xml:space="preserve"> physically.</w:t>
            </w:r>
          </w:p>
          <w:p w14:paraId="7C083F81" w14:textId="013FF81A" w:rsidR="00313600" w:rsidRPr="00FF68E8" w:rsidRDefault="00EB2348">
            <w:pPr>
              <w:pStyle w:val="VCAAtablecondensed"/>
            </w:pPr>
            <w:r>
              <w:t xml:space="preserve">Students reflect on the differences between an audience and a </w:t>
            </w:r>
            <w:proofErr w:type="gramStart"/>
            <w:r>
              <w:t>performer, and</w:t>
            </w:r>
            <w:proofErr w:type="gramEnd"/>
            <w:r>
              <w:t xml:space="preserve"> think about other situations where this </w:t>
            </w:r>
            <w:r w:rsidR="008A4ABC">
              <w:t xml:space="preserve">relationship </w:t>
            </w:r>
            <w:r>
              <w:t>might occ</w:t>
            </w:r>
            <w:r w:rsidR="008A5CA7">
              <w:t xml:space="preserve">ur. </w:t>
            </w:r>
            <w:r w:rsidR="001D6293">
              <w:t xml:space="preserve">Teacher can extend students’ understanding of performance </w:t>
            </w:r>
            <w:r w:rsidR="003B5CFD">
              <w:t>using other examples, such as</w:t>
            </w:r>
            <w:r w:rsidR="001D6293">
              <w:t xml:space="preserve"> the principal speaking at a school assembly </w:t>
            </w:r>
            <w:r w:rsidR="003B5CFD">
              <w:t>being</w:t>
            </w:r>
            <w:r w:rsidR="001D6293">
              <w:t xml:space="preserve"> like a performer </w:t>
            </w:r>
            <w:r w:rsidR="003B5CFD">
              <w:t xml:space="preserve">with </w:t>
            </w:r>
            <w:r w:rsidR="001D6293">
              <w:t xml:space="preserve">all the students </w:t>
            </w:r>
            <w:r w:rsidR="003B5CFD">
              <w:t xml:space="preserve">being </w:t>
            </w:r>
            <w:r w:rsidR="001D6293">
              <w:t>the audience.</w:t>
            </w:r>
            <w:r w:rsidR="006A45BF">
              <w:t xml:space="preserve"> </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55E2B1AC" w14:textId="01E51633" w:rsidR="006D5CC3" w:rsidRDefault="006D5CC3" w:rsidP="003E58A9">
      <w:pPr>
        <w:pStyle w:val="VCAAbullet"/>
      </w:pPr>
      <w:r>
        <w:t xml:space="preserve">This activity can be tied to the Intercultural Capability by examining how different cultures communicate appreciation. Teacher should do research </w:t>
      </w:r>
      <w:r w:rsidR="00E975D4">
        <w:t>to avoid cultural stereotypes.</w:t>
      </w:r>
    </w:p>
    <w:p w14:paraId="50636547" w14:textId="082BD2BC" w:rsidR="00EB2348" w:rsidRDefault="00EB2348" w:rsidP="00E60E57">
      <w:pPr>
        <w:pStyle w:val="VCAAbullet"/>
      </w:pPr>
      <w:r w:rsidRPr="00FF68E8">
        <w:t xml:space="preserve">The </w:t>
      </w:r>
      <w:r w:rsidR="004B2C8D">
        <w:t xml:space="preserve">song can </w:t>
      </w:r>
      <w:r w:rsidRPr="00FF68E8">
        <w:t>be presented at a school information day</w:t>
      </w:r>
      <w:r w:rsidR="004B2C8D">
        <w:t xml:space="preserve"> or assembly</w:t>
      </w:r>
      <w:r w:rsidRPr="00FF68E8">
        <w:t>,</w:t>
      </w:r>
      <w:r w:rsidR="004B2C8D">
        <w:t xml:space="preserve"> or</w:t>
      </w:r>
      <w:r w:rsidRPr="00FF68E8">
        <w:t xml:space="preserve"> grandparents’ day</w:t>
      </w:r>
      <w:r w:rsidR="004B2C8D">
        <w:t xml:space="preserve">, </w:t>
      </w:r>
      <w:r w:rsidR="00063B30">
        <w:t xml:space="preserve">and can </w:t>
      </w:r>
      <w:r w:rsidRPr="00FF68E8">
        <w:t xml:space="preserve">be recorded and played during </w:t>
      </w:r>
      <w:r w:rsidR="00063B30" w:rsidRPr="00FF68E8">
        <w:t>parent</w:t>
      </w:r>
      <w:r w:rsidR="00063B30">
        <w:t>-</w:t>
      </w:r>
      <w:r w:rsidRPr="00FF68E8">
        <w:t xml:space="preserve">teacher interviews </w:t>
      </w:r>
      <w:r w:rsidR="00693DAC">
        <w:t xml:space="preserve">to </w:t>
      </w:r>
      <w:r w:rsidRPr="00FF68E8">
        <w:t>present students’ understanding of the topic.</w:t>
      </w:r>
    </w:p>
    <w:p w14:paraId="56FE23A8" w14:textId="58EE7C5B" w:rsidR="00CE62A1" w:rsidRDefault="005A4EEB">
      <w:pPr>
        <w:pStyle w:val="VCAAbullet"/>
      </w:pPr>
      <w:r>
        <w:t xml:space="preserve">Teacher can </w:t>
      </w:r>
      <w:r w:rsidR="00CE62A1" w:rsidRPr="00CE62A1">
        <w:t xml:space="preserve">use guiding questions to review understanding of </w:t>
      </w:r>
      <w:r w:rsidR="00724178">
        <w:t xml:space="preserve">the </w:t>
      </w:r>
      <w:r w:rsidR="00CE62A1" w:rsidRPr="00CE62A1">
        <w:t xml:space="preserve">topic </w:t>
      </w:r>
      <w:r w:rsidR="000C3308">
        <w:t xml:space="preserve">of communication. </w:t>
      </w:r>
      <w:r w:rsidR="00CE62A1" w:rsidRPr="00CE62A1">
        <w:t xml:space="preserve">A prior discussion with the classroom teacher </w:t>
      </w:r>
      <w:r w:rsidR="0042481D">
        <w:t>may</w:t>
      </w:r>
      <w:r w:rsidR="0042481D" w:rsidRPr="00CE62A1">
        <w:t xml:space="preserve"> </w:t>
      </w:r>
      <w:r w:rsidR="00CE62A1" w:rsidRPr="00CE62A1">
        <w:t>be needed to help formulate these questions.</w:t>
      </w:r>
    </w:p>
    <w:p w14:paraId="1B16CB54" w14:textId="779ED2E6" w:rsidR="00CF554F" w:rsidRPr="00CE62A1" w:rsidRDefault="000F78AA">
      <w:pPr>
        <w:pStyle w:val="VCAAbullet"/>
      </w:pPr>
      <w:r>
        <w:t>Teacher may have</w:t>
      </w:r>
      <w:r w:rsidR="00CF554F">
        <w:t xml:space="preserve"> a musician </w:t>
      </w:r>
      <w:r>
        <w:t xml:space="preserve">visit the class to answer </w:t>
      </w:r>
      <w:r w:rsidR="00CF554F">
        <w:t>questions about the working life of a musician.</w:t>
      </w:r>
    </w:p>
    <w:p w14:paraId="1FB1AEC5" w14:textId="0C68F1E5" w:rsidR="008B1278" w:rsidRPr="00E10294" w:rsidRDefault="00DB533D" w:rsidP="004F6DE0">
      <w:pPr>
        <w:pStyle w:val="VCAAHeading4"/>
      </w:pPr>
      <w:r>
        <w:t xml:space="preserve">Additional resources to help when adapting the learning activity </w:t>
      </w:r>
    </w:p>
    <w:p w14:paraId="7C921CD4" w14:textId="286911AC" w:rsidR="00E10294" w:rsidRPr="006454FD" w:rsidRDefault="00F65AB7" w:rsidP="00580AC5">
      <w:pPr>
        <w:pStyle w:val="VCAAbullet"/>
        <w:rPr>
          <w:lang w:val="en-AU" w:eastAsia="en-AU"/>
        </w:rPr>
      </w:pPr>
      <w:hyperlink r:id="rId12" w:history="1">
        <w:r w:rsidR="00E10294" w:rsidRPr="00E60E57">
          <w:rPr>
            <w:rStyle w:val="Hyperlink"/>
            <w:i/>
            <w:iCs/>
          </w:rPr>
          <w:t>Catch A Song</w:t>
        </w:r>
      </w:hyperlink>
      <w:r w:rsidR="00E10294" w:rsidRPr="00C1701E">
        <w:t xml:space="preserve"> by </w:t>
      </w:r>
      <w:r w:rsidRPr="00C1701E">
        <w:t>Deanna</w:t>
      </w:r>
      <w:r>
        <w:t xml:space="preserve"> </w:t>
      </w:r>
      <w:proofErr w:type="spellStart"/>
      <w:r w:rsidRPr="00C1701E">
        <w:t>Hoermann</w:t>
      </w:r>
      <w:proofErr w:type="spellEnd"/>
      <w:r w:rsidRPr="00C1701E">
        <w:t xml:space="preserve"> </w:t>
      </w:r>
      <w:r>
        <w:t xml:space="preserve">and </w:t>
      </w:r>
      <w:r w:rsidR="00E10294" w:rsidRPr="00C1701E">
        <w:t>Doreen Bridges</w:t>
      </w:r>
      <w:r>
        <w:t xml:space="preserve"> (1988)</w:t>
      </w:r>
      <w:r w:rsidR="00E10294" w:rsidRPr="00C1701E">
        <w:t>.</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2DFE258F" w:rsidR="00F01253" w:rsidRPr="00E60E57" w:rsidRDefault="003E58A9" w:rsidP="00580AC5">
      <w:pPr>
        <w:pStyle w:val="VCAAbody"/>
      </w:pPr>
      <w:r>
        <w:t>Know yourself – s</w:t>
      </w:r>
      <w:r w:rsidRPr="00E60E57">
        <w:t>elf</w:t>
      </w:r>
      <w:r w:rsidR="00F01253" w:rsidRPr="00E60E57">
        <w:t xml:space="preserve">-development: </w:t>
      </w:r>
    </w:p>
    <w:p w14:paraId="0EADE65B" w14:textId="4CBA945A" w:rsidR="004F0545" w:rsidRDefault="00676062" w:rsidP="00E60E57">
      <w:pPr>
        <w:pStyle w:val="VCAAbullet"/>
      </w:pPr>
      <w:r>
        <w:t xml:space="preserve">Students </w:t>
      </w:r>
      <w:r w:rsidR="00E10294" w:rsidRPr="00E10294">
        <w:t>learn how performer</w:t>
      </w:r>
      <w:r>
        <w:t>s</w:t>
      </w:r>
      <w:r w:rsidR="00E10294" w:rsidRPr="00E10294">
        <w:t xml:space="preserve"> and audience</w:t>
      </w:r>
      <w:r>
        <w:t>s</w:t>
      </w:r>
      <w:r w:rsidR="00E10294" w:rsidRPr="00E10294">
        <w:t xml:space="preserve"> </w:t>
      </w:r>
      <w:r>
        <w:t>communicate through body language</w:t>
      </w:r>
      <w:r w:rsidR="00E60E57">
        <w:t xml:space="preserve"> and other forms of </w:t>
      </w:r>
      <w:proofErr w:type="gramStart"/>
      <w:r w:rsidR="00E60E57">
        <w:t>expression, and</w:t>
      </w:r>
      <w:proofErr w:type="gramEnd"/>
      <w:r w:rsidR="00E60E57">
        <w:t xml:space="preserve"> think about how this applies to their own lives</w:t>
      </w:r>
      <w:r w:rsidR="00E10294" w:rsidRPr="00E10294">
        <w:t>.</w:t>
      </w:r>
    </w:p>
    <w:p w14:paraId="1E77F5AF" w14:textId="5025993B" w:rsidR="00862B48" w:rsidRPr="00FF68E8" w:rsidRDefault="00E10294" w:rsidP="00E60E57">
      <w:pPr>
        <w:pStyle w:val="VCAAbullet"/>
      </w:pPr>
      <w:r w:rsidRPr="00E10294">
        <w:t xml:space="preserve">Students </w:t>
      </w:r>
      <w:r w:rsidR="004F4D00">
        <w:t>develop communication and organisation skills</w:t>
      </w:r>
      <w:r w:rsidRPr="00E10294">
        <w:t xml:space="preserve"> as they share their ideas.</w:t>
      </w:r>
    </w:p>
    <w:p w14:paraId="66FA02DD" w14:textId="29982FC8" w:rsidR="00F01253" w:rsidRDefault="003E58A9" w:rsidP="00F01253">
      <w:pPr>
        <w:pStyle w:val="VCAAbody"/>
        <w:rPr>
          <w:lang w:val="en-AU"/>
        </w:rPr>
      </w:pPr>
      <w:r>
        <w:rPr>
          <w:lang w:val="en-AU"/>
        </w:rPr>
        <w:t>Know your world – c</w:t>
      </w:r>
      <w:r w:rsidRPr="008C0A84">
        <w:rPr>
          <w:lang w:val="en-AU"/>
        </w:rPr>
        <w:t>areer</w:t>
      </w:r>
      <w:r w:rsidR="00F01253" w:rsidRPr="008C0A84">
        <w:rPr>
          <w:lang w:val="en-AU"/>
        </w:rPr>
        <w:t xml:space="preserve"> exploration: </w:t>
      </w:r>
    </w:p>
    <w:p w14:paraId="59D57C92" w14:textId="64EDFA24" w:rsidR="00FD438F" w:rsidRPr="00FF68E8" w:rsidRDefault="00FD438F" w:rsidP="00E60E57">
      <w:pPr>
        <w:pStyle w:val="VCAAbullet"/>
        <w:rPr>
          <w:lang w:val="en-US"/>
        </w:rPr>
      </w:pPr>
      <w:r w:rsidRPr="00E10294">
        <w:t xml:space="preserve">Students </w:t>
      </w:r>
      <w:r>
        <w:t>understand some of the processes composer</w:t>
      </w:r>
      <w:r w:rsidR="00FE2A41">
        <w:t>s</w:t>
      </w:r>
      <w:r>
        <w:t xml:space="preserve"> and performer</w:t>
      </w:r>
      <w:r w:rsidR="00FE2A41">
        <w:t>s</w:t>
      </w:r>
      <w:r>
        <w:t xml:space="preserve"> undertake</w:t>
      </w:r>
      <w:r w:rsidR="00862B48">
        <w:t>.</w:t>
      </w:r>
    </w:p>
    <w:p w14:paraId="5DD6FFBA" w14:textId="78DCF7F7" w:rsidR="00F01253" w:rsidRPr="00FF68E8" w:rsidRDefault="00FD438F" w:rsidP="00E60E57">
      <w:pPr>
        <w:pStyle w:val="VCAAbullet"/>
        <w:rPr>
          <w:szCs w:val="18"/>
        </w:rPr>
      </w:pPr>
      <w:r w:rsidRPr="00FD14CD">
        <w:t xml:space="preserve">Students </w:t>
      </w:r>
      <w:r w:rsidR="00E60E57">
        <w:t>link their school experience to professional roles like composter and musician, helping them understand the connections between work and society</w:t>
      </w:r>
      <w:r w:rsidRPr="00FD14CD">
        <w:t xml:space="preserve">. </w:t>
      </w:r>
    </w:p>
    <w:p w14:paraId="742ACACB" w14:textId="1DC12DDB" w:rsidR="00FF68E8" w:rsidRDefault="00FF68E8" w:rsidP="00E60E57">
      <w:pPr>
        <w:pStyle w:val="VCAAbody"/>
      </w:pPr>
      <w:r>
        <w:t>Manage your future – be proactive:</w:t>
      </w:r>
    </w:p>
    <w:p w14:paraId="6A9A21FB" w14:textId="2F136734" w:rsidR="00580AC5" w:rsidRDefault="00925174">
      <w:pPr>
        <w:pStyle w:val="VCAAbullet"/>
      </w:pPr>
      <w:r>
        <w:t>S</w:t>
      </w:r>
      <w:r w:rsidR="00580AC5">
        <w:t xml:space="preserve">tudents </w:t>
      </w:r>
      <w:r w:rsidR="00E60E57">
        <w:t xml:space="preserve">develop their </w:t>
      </w:r>
      <w:r w:rsidR="00580AC5">
        <w:t xml:space="preserve">understanding that </w:t>
      </w:r>
      <w:r w:rsidR="00E60E57">
        <w:t>people</w:t>
      </w:r>
      <w:r w:rsidR="00580AC5">
        <w:t xml:space="preserve"> present </w:t>
      </w:r>
      <w:r w:rsidR="00E60E57">
        <w:t>themselves</w:t>
      </w:r>
      <w:r w:rsidR="00580AC5">
        <w:t xml:space="preserve"> and behave differently in different </w:t>
      </w:r>
      <w:r w:rsidR="00F61115">
        <w:t>situations</w:t>
      </w:r>
      <w:r w:rsidR="00580AC5">
        <w:t xml:space="preserve">. </w:t>
      </w:r>
    </w:p>
    <w:p w14:paraId="2DA95AC4" w14:textId="77777777" w:rsidR="00E60E57" w:rsidRPr="00FF68E8" w:rsidRDefault="00E60E57" w:rsidP="00E60E57">
      <w:pPr>
        <w:pStyle w:val="VCAAbullet"/>
        <w:numPr>
          <w:ilvl w:val="0"/>
          <w:numId w:val="0"/>
        </w:numPr>
      </w:pPr>
    </w:p>
    <w:sectPr w:rsidR="00E60E57" w:rsidRPr="00FF68E8"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6D5CC3" w:rsidRDefault="006D5CC3" w:rsidP="00304EA1">
      <w:pPr>
        <w:spacing w:after="0" w:line="240" w:lineRule="auto"/>
      </w:pPr>
      <w:r>
        <w:separator/>
      </w:r>
    </w:p>
  </w:endnote>
  <w:endnote w:type="continuationSeparator" w:id="0">
    <w:p w14:paraId="3270DF94" w14:textId="77777777" w:rsidR="006D5CC3" w:rsidRDefault="006D5CC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6D5CC3" w:rsidRPr="00D06414" w14:paraId="6474FD3B" w14:textId="77777777" w:rsidTr="00BB3BAB">
      <w:trPr>
        <w:trHeight w:val="476"/>
      </w:trPr>
      <w:tc>
        <w:tcPr>
          <w:tcW w:w="1667" w:type="pct"/>
          <w:tcMar>
            <w:left w:w="0" w:type="dxa"/>
            <w:right w:w="0" w:type="dxa"/>
          </w:tcMar>
        </w:tcPr>
        <w:p w14:paraId="0EC15F2D" w14:textId="77777777" w:rsidR="006D5CC3" w:rsidRPr="00D06414" w:rsidRDefault="006D5CC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6D5CC3" w:rsidRPr="00D06414" w:rsidRDefault="006D5CC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3CB560C" w:rsidR="006D5CC3" w:rsidRPr="00D06414" w:rsidRDefault="006D5CC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6D5CC3" w:rsidRPr="00D06414" w:rsidRDefault="006D5CC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6D5CC3" w:rsidRPr="00D06414" w14:paraId="36A4ADC1" w14:textId="77777777" w:rsidTr="000F5AAF">
      <w:tc>
        <w:tcPr>
          <w:tcW w:w="1459" w:type="pct"/>
          <w:tcMar>
            <w:left w:w="0" w:type="dxa"/>
            <w:right w:w="0" w:type="dxa"/>
          </w:tcMar>
        </w:tcPr>
        <w:p w14:paraId="74DB1FC2" w14:textId="77777777" w:rsidR="006D5CC3" w:rsidRPr="00D06414" w:rsidRDefault="006D5CC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6D5CC3" w:rsidRPr="00D06414" w:rsidRDefault="006D5CC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6D5CC3" w:rsidRPr="00D06414" w:rsidRDefault="006D5CC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6D5CC3" w:rsidRPr="00D06414" w:rsidRDefault="006D5CC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6D5CC3" w:rsidRDefault="006D5CC3" w:rsidP="00304EA1">
      <w:pPr>
        <w:spacing w:after="0" w:line="240" w:lineRule="auto"/>
      </w:pPr>
      <w:r>
        <w:separator/>
      </w:r>
    </w:p>
  </w:footnote>
  <w:footnote w:type="continuationSeparator" w:id="0">
    <w:p w14:paraId="13540A36" w14:textId="77777777" w:rsidR="006D5CC3" w:rsidRDefault="006D5CC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7DEDE2D5" w:rsidR="006D5CC3" w:rsidRPr="0038622E" w:rsidRDefault="006D5CC3" w:rsidP="0038622E">
    <w:pPr>
      <w:pStyle w:val="VCAAbody"/>
      <w:rPr>
        <w:color w:val="0F7EB4"/>
      </w:rPr>
    </w:pPr>
    <w:r>
      <w:t>Embedding career education in the Victorian Curriculum F–10 – Music, Levels 1 and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6D5CC3" w:rsidRPr="009370BC" w:rsidRDefault="006D5CC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8ECE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D6A7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980A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32BD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48A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9E9D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9239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D621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6CD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BEAF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A7444"/>
    <w:multiLevelType w:val="hybridMultilevel"/>
    <w:tmpl w:val="4F2CD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327A6F"/>
    <w:multiLevelType w:val="hybridMultilevel"/>
    <w:tmpl w:val="3FC8286A"/>
    <w:lvl w:ilvl="0" w:tplc="F1642B88">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95D7B"/>
    <w:multiLevelType w:val="hybridMultilevel"/>
    <w:tmpl w:val="04244910"/>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196FDF"/>
    <w:multiLevelType w:val="hybridMultilevel"/>
    <w:tmpl w:val="28803AF4"/>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2C799B"/>
    <w:multiLevelType w:val="hybridMultilevel"/>
    <w:tmpl w:val="DA1045E8"/>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E5B45"/>
    <w:multiLevelType w:val="hybridMultilevel"/>
    <w:tmpl w:val="534CE3A0"/>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89AADAD0"/>
    <w:lvl w:ilvl="0" w:tplc="D952A5FA">
      <w:start w:val="1"/>
      <w:numFmt w:val="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15:restartNumberingAfterBreak="0">
    <w:nsid w:val="7A957807"/>
    <w:multiLevelType w:val="hybridMultilevel"/>
    <w:tmpl w:val="D8B89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6"/>
  </w:num>
  <w:num w:numId="4">
    <w:abstractNumId w:val="12"/>
  </w:num>
  <w:num w:numId="5">
    <w:abstractNumId w:val="21"/>
  </w:num>
  <w:num w:numId="6">
    <w:abstractNumId w:val="15"/>
  </w:num>
  <w:num w:numId="7">
    <w:abstractNumId w:val="13"/>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4"/>
  </w:num>
  <w:num w:numId="21">
    <w:abstractNumId w:val="19"/>
  </w:num>
  <w:num w:numId="22">
    <w:abstractNumId w:val="11"/>
  </w:num>
  <w:num w:numId="23">
    <w:abstractNumId w:val="10"/>
  </w:num>
  <w:num w:numId="24">
    <w:abstractNumId w:val="23"/>
  </w:num>
  <w:num w:numId="25">
    <w:abstractNumId w:val="11"/>
  </w:num>
  <w:num w:numId="26">
    <w:abstractNumId w:val="18"/>
  </w:num>
  <w:num w:numId="27">
    <w:abstractNumId w:val="16"/>
  </w:num>
  <w:num w:numId="28">
    <w:abstractNumId w:val="1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3048"/>
    <w:rsid w:val="0005642C"/>
    <w:rsid w:val="0005780E"/>
    <w:rsid w:val="00063B30"/>
    <w:rsid w:val="00065CC6"/>
    <w:rsid w:val="0006693A"/>
    <w:rsid w:val="00072AF1"/>
    <w:rsid w:val="00076810"/>
    <w:rsid w:val="00086CFC"/>
    <w:rsid w:val="00097F58"/>
    <w:rsid w:val="000A71F7"/>
    <w:rsid w:val="000B152F"/>
    <w:rsid w:val="000C3308"/>
    <w:rsid w:val="000D79AC"/>
    <w:rsid w:val="000F09E4"/>
    <w:rsid w:val="000F16FD"/>
    <w:rsid w:val="000F5AAF"/>
    <w:rsid w:val="000F78AA"/>
    <w:rsid w:val="0011113C"/>
    <w:rsid w:val="0012374D"/>
    <w:rsid w:val="00143520"/>
    <w:rsid w:val="00153AD2"/>
    <w:rsid w:val="001779EA"/>
    <w:rsid w:val="0018658F"/>
    <w:rsid w:val="001926FE"/>
    <w:rsid w:val="00196899"/>
    <w:rsid w:val="001A3043"/>
    <w:rsid w:val="001A39A9"/>
    <w:rsid w:val="001B2EF8"/>
    <w:rsid w:val="001B7FCE"/>
    <w:rsid w:val="001D3246"/>
    <w:rsid w:val="001D6293"/>
    <w:rsid w:val="001E1242"/>
    <w:rsid w:val="001F5D88"/>
    <w:rsid w:val="002279BA"/>
    <w:rsid w:val="002329F3"/>
    <w:rsid w:val="00243F0D"/>
    <w:rsid w:val="00251556"/>
    <w:rsid w:val="00254888"/>
    <w:rsid w:val="00255852"/>
    <w:rsid w:val="00260767"/>
    <w:rsid w:val="002647BB"/>
    <w:rsid w:val="002754C1"/>
    <w:rsid w:val="00276800"/>
    <w:rsid w:val="00283632"/>
    <w:rsid w:val="002841C8"/>
    <w:rsid w:val="0028516B"/>
    <w:rsid w:val="00295695"/>
    <w:rsid w:val="002A4E12"/>
    <w:rsid w:val="002B103A"/>
    <w:rsid w:val="002C6F90"/>
    <w:rsid w:val="002D494B"/>
    <w:rsid w:val="002E4FB5"/>
    <w:rsid w:val="00302FB8"/>
    <w:rsid w:val="00304EA1"/>
    <w:rsid w:val="00313600"/>
    <w:rsid w:val="00314D81"/>
    <w:rsid w:val="00322FC6"/>
    <w:rsid w:val="0035293F"/>
    <w:rsid w:val="0037584A"/>
    <w:rsid w:val="0038622E"/>
    <w:rsid w:val="00391986"/>
    <w:rsid w:val="00392864"/>
    <w:rsid w:val="003A00B4"/>
    <w:rsid w:val="003B02C3"/>
    <w:rsid w:val="003B147C"/>
    <w:rsid w:val="003B5CFD"/>
    <w:rsid w:val="003C394F"/>
    <w:rsid w:val="003C5E71"/>
    <w:rsid w:val="003E58A9"/>
    <w:rsid w:val="003E66AB"/>
    <w:rsid w:val="004006AB"/>
    <w:rsid w:val="00411D26"/>
    <w:rsid w:val="00417AA3"/>
    <w:rsid w:val="00421DB1"/>
    <w:rsid w:val="0042481D"/>
    <w:rsid w:val="00425DFE"/>
    <w:rsid w:val="00425FD1"/>
    <w:rsid w:val="00434EDB"/>
    <w:rsid w:val="00440B32"/>
    <w:rsid w:val="00457521"/>
    <w:rsid w:val="0046078D"/>
    <w:rsid w:val="00495C79"/>
    <w:rsid w:val="00495C80"/>
    <w:rsid w:val="004A2ED8"/>
    <w:rsid w:val="004A4761"/>
    <w:rsid w:val="004B2C8D"/>
    <w:rsid w:val="004D275D"/>
    <w:rsid w:val="004D70CD"/>
    <w:rsid w:val="004F0545"/>
    <w:rsid w:val="004F4D00"/>
    <w:rsid w:val="004F5BDA"/>
    <w:rsid w:val="004F6DE0"/>
    <w:rsid w:val="0051631E"/>
    <w:rsid w:val="00537A1F"/>
    <w:rsid w:val="00556C9A"/>
    <w:rsid w:val="0056209C"/>
    <w:rsid w:val="00563E1D"/>
    <w:rsid w:val="00565867"/>
    <w:rsid w:val="00566029"/>
    <w:rsid w:val="00567FD3"/>
    <w:rsid w:val="00580AC5"/>
    <w:rsid w:val="00587D9E"/>
    <w:rsid w:val="005923CB"/>
    <w:rsid w:val="005A4EEB"/>
    <w:rsid w:val="005B391B"/>
    <w:rsid w:val="005D3D78"/>
    <w:rsid w:val="005D7236"/>
    <w:rsid w:val="005E2EF0"/>
    <w:rsid w:val="005F4092"/>
    <w:rsid w:val="00610518"/>
    <w:rsid w:val="00623D35"/>
    <w:rsid w:val="006454FD"/>
    <w:rsid w:val="00676062"/>
    <w:rsid w:val="0068471E"/>
    <w:rsid w:val="00684A19"/>
    <w:rsid w:val="00684F98"/>
    <w:rsid w:val="00693DAC"/>
    <w:rsid w:val="00693FFD"/>
    <w:rsid w:val="006A45BF"/>
    <w:rsid w:val="006D2159"/>
    <w:rsid w:val="006D5CC3"/>
    <w:rsid w:val="006F787C"/>
    <w:rsid w:val="00701CCC"/>
    <w:rsid w:val="0070212B"/>
    <w:rsid w:val="00702636"/>
    <w:rsid w:val="0071408B"/>
    <w:rsid w:val="00724178"/>
    <w:rsid w:val="00724507"/>
    <w:rsid w:val="00734A3B"/>
    <w:rsid w:val="007623B9"/>
    <w:rsid w:val="00773E6C"/>
    <w:rsid w:val="00781FB1"/>
    <w:rsid w:val="007A0E4B"/>
    <w:rsid w:val="007D1B6D"/>
    <w:rsid w:val="007E7D1F"/>
    <w:rsid w:val="007F5DAD"/>
    <w:rsid w:val="00813C37"/>
    <w:rsid w:val="008154B5"/>
    <w:rsid w:val="00823962"/>
    <w:rsid w:val="00852719"/>
    <w:rsid w:val="00860115"/>
    <w:rsid w:val="00862B48"/>
    <w:rsid w:val="0088783C"/>
    <w:rsid w:val="008A4ABC"/>
    <w:rsid w:val="008A5CA7"/>
    <w:rsid w:val="008B1278"/>
    <w:rsid w:val="008B3D81"/>
    <w:rsid w:val="008C0A84"/>
    <w:rsid w:val="008C40F1"/>
    <w:rsid w:val="008D0ABF"/>
    <w:rsid w:val="008D57CA"/>
    <w:rsid w:val="008F0EC5"/>
    <w:rsid w:val="008F4D36"/>
    <w:rsid w:val="009014CC"/>
    <w:rsid w:val="00905484"/>
    <w:rsid w:val="00923974"/>
    <w:rsid w:val="00925174"/>
    <w:rsid w:val="009370BC"/>
    <w:rsid w:val="00970580"/>
    <w:rsid w:val="009763BD"/>
    <w:rsid w:val="0098739B"/>
    <w:rsid w:val="009B201C"/>
    <w:rsid w:val="009B61E5"/>
    <w:rsid w:val="009D1E89"/>
    <w:rsid w:val="009E5707"/>
    <w:rsid w:val="00A13223"/>
    <w:rsid w:val="00A17661"/>
    <w:rsid w:val="00A24B2D"/>
    <w:rsid w:val="00A27DCD"/>
    <w:rsid w:val="00A40966"/>
    <w:rsid w:val="00A50E81"/>
    <w:rsid w:val="00A921E0"/>
    <w:rsid w:val="00A922F4"/>
    <w:rsid w:val="00AB087D"/>
    <w:rsid w:val="00AC6B7E"/>
    <w:rsid w:val="00AD59D5"/>
    <w:rsid w:val="00AE5526"/>
    <w:rsid w:val="00AE7627"/>
    <w:rsid w:val="00AF051B"/>
    <w:rsid w:val="00B01578"/>
    <w:rsid w:val="00B0738F"/>
    <w:rsid w:val="00B07B41"/>
    <w:rsid w:val="00B13D3B"/>
    <w:rsid w:val="00B230DB"/>
    <w:rsid w:val="00B26601"/>
    <w:rsid w:val="00B30E01"/>
    <w:rsid w:val="00B41951"/>
    <w:rsid w:val="00B45019"/>
    <w:rsid w:val="00B51FA6"/>
    <w:rsid w:val="00B53229"/>
    <w:rsid w:val="00B62480"/>
    <w:rsid w:val="00B74D78"/>
    <w:rsid w:val="00B81B70"/>
    <w:rsid w:val="00BA0087"/>
    <w:rsid w:val="00BB3BAB"/>
    <w:rsid w:val="00BB4BA7"/>
    <w:rsid w:val="00BC1B05"/>
    <w:rsid w:val="00BD0724"/>
    <w:rsid w:val="00BD2B91"/>
    <w:rsid w:val="00BE5521"/>
    <w:rsid w:val="00BF1637"/>
    <w:rsid w:val="00BF3801"/>
    <w:rsid w:val="00BF6C23"/>
    <w:rsid w:val="00C2005D"/>
    <w:rsid w:val="00C31F6E"/>
    <w:rsid w:val="00C4146D"/>
    <w:rsid w:val="00C53263"/>
    <w:rsid w:val="00C54474"/>
    <w:rsid w:val="00C62CAA"/>
    <w:rsid w:val="00C6415E"/>
    <w:rsid w:val="00C75F1D"/>
    <w:rsid w:val="00C86F92"/>
    <w:rsid w:val="00C95156"/>
    <w:rsid w:val="00CA0DC2"/>
    <w:rsid w:val="00CB68E8"/>
    <w:rsid w:val="00CD35AB"/>
    <w:rsid w:val="00CE62A1"/>
    <w:rsid w:val="00CF554F"/>
    <w:rsid w:val="00D04F01"/>
    <w:rsid w:val="00D06414"/>
    <w:rsid w:val="00D24E5A"/>
    <w:rsid w:val="00D338E4"/>
    <w:rsid w:val="00D35D07"/>
    <w:rsid w:val="00D36FA7"/>
    <w:rsid w:val="00D4304F"/>
    <w:rsid w:val="00D51947"/>
    <w:rsid w:val="00D532F0"/>
    <w:rsid w:val="00D567C4"/>
    <w:rsid w:val="00D77413"/>
    <w:rsid w:val="00D82759"/>
    <w:rsid w:val="00D86DE4"/>
    <w:rsid w:val="00DB10FE"/>
    <w:rsid w:val="00DB533D"/>
    <w:rsid w:val="00DC1104"/>
    <w:rsid w:val="00DE1909"/>
    <w:rsid w:val="00DE51DB"/>
    <w:rsid w:val="00E10294"/>
    <w:rsid w:val="00E23F1D"/>
    <w:rsid w:val="00E24B03"/>
    <w:rsid w:val="00E30E05"/>
    <w:rsid w:val="00E36361"/>
    <w:rsid w:val="00E55AE9"/>
    <w:rsid w:val="00E56D1D"/>
    <w:rsid w:val="00E60E57"/>
    <w:rsid w:val="00E823D4"/>
    <w:rsid w:val="00E85295"/>
    <w:rsid w:val="00E9592C"/>
    <w:rsid w:val="00E975D4"/>
    <w:rsid w:val="00EA2830"/>
    <w:rsid w:val="00EB0C84"/>
    <w:rsid w:val="00EB2348"/>
    <w:rsid w:val="00EF1E25"/>
    <w:rsid w:val="00F01253"/>
    <w:rsid w:val="00F07ECD"/>
    <w:rsid w:val="00F17FDE"/>
    <w:rsid w:val="00F35AAA"/>
    <w:rsid w:val="00F40D53"/>
    <w:rsid w:val="00F4525C"/>
    <w:rsid w:val="00F50D86"/>
    <w:rsid w:val="00F61115"/>
    <w:rsid w:val="00F65AB7"/>
    <w:rsid w:val="00F6610F"/>
    <w:rsid w:val="00FB23F1"/>
    <w:rsid w:val="00FC0391"/>
    <w:rsid w:val="00FD14CD"/>
    <w:rsid w:val="00FD29D3"/>
    <w:rsid w:val="00FD438F"/>
    <w:rsid w:val="00FE2873"/>
    <w:rsid w:val="00FE2A41"/>
    <w:rsid w:val="00FE3F0B"/>
    <w:rsid w:val="00FF47DF"/>
    <w:rsid w:val="00FF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3E58A9"/>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3E58A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3E58A9"/>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3E58A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3E58A9"/>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3E58A9"/>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3E58A9"/>
    <w:rPr>
      <w:color w:val="FFFFFF" w:themeColor="background1"/>
    </w:rPr>
  </w:style>
  <w:style w:type="paragraph" w:customStyle="1" w:styleId="VCAAbullet">
    <w:name w:val="VCAA bullet"/>
    <w:basedOn w:val="VCAAbody"/>
    <w:autoRedefine/>
    <w:qFormat/>
    <w:rsid w:val="003E58A9"/>
    <w:pPr>
      <w:numPr>
        <w:numId w:val="25"/>
      </w:numPr>
      <w:spacing w:before="60" w:after="60"/>
      <w:ind w:left="426" w:hanging="426"/>
      <w:contextualSpacing/>
    </w:pPr>
    <w:rPr>
      <w:rFonts w:eastAsia="Times New Roman"/>
      <w:kern w:val="22"/>
      <w:lang w:val="en-GB" w:eastAsia="ja-JP"/>
    </w:rPr>
  </w:style>
  <w:style w:type="paragraph" w:customStyle="1" w:styleId="VCAAbulletlevel2">
    <w:name w:val="VCAA bullet level 2"/>
    <w:basedOn w:val="VCAAbullet"/>
    <w:qFormat/>
    <w:rsid w:val="003E58A9"/>
    <w:pPr>
      <w:numPr>
        <w:numId w:val="26"/>
      </w:numPr>
    </w:pPr>
  </w:style>
  <w:style w:type="paragraph" w:customStyle="1" w:styleId="VCAAnumbers">
    <w:name w:val="VCAA numbers"/>
    <w:basedOn w:val="VCAAbullet"/>
    <w:qFormat/>
    <w:rsid w:val="003E58A9"/>
    <w:pPr>
      <w:numPr>
        <w:numId w:val="27"/>
      </w:numPr>
    </w:pPr>
    <w:rPr>
      <w:lang w:val="en-US"/>
    </w:rPr>
  </w:style>
  <w:style w:type="paragraph" w:customStyle="1" w:styleId="VCAAtablecondensedbullet">
    <w:name w:val="VCAA table condensed bullet"/>
    <w:basedOn w:val="Normal"/>
    <w:qFormat/>
    <w:rsid w:val="003E58A9"/>
    <w:pPr>
      <w:numPr>
        <w:numId w:val="28"/>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3E58A9"/>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3E58A9"/>
    <w:pPr>
      <w:spacing w:after="360"/>
    </w:pPr>
    <w:rPr>
      <w:sz w:val="18"/>
      <w:szCs w:val="18"/>
    </w:rPr>
  </w:style>
  <w:style w:type="paragraph" w:customStyle="1" w:styleId="VCAAHeading5">
    <w:name w:val="VCAA Heading 5"/>
    <w:next w:val="VCAAbody"/>
    <w:qFormat/>
    <w:rsid w:val="003E58A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3E58A9"/>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E58A9"/>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3E58A9"/>
    <w:pPr>
      <w:numPr>
        <w:numId w:val="29"/>
      </w:numPr>
    </w:pPr>
    <w:rPr>
      <w:color w:val="000000" w:themeColor="text1"/>
    </w:rPr>
  </w:style>
  <w:style w:type="table" w:customStyle="1" w:styleId="VCAATableClosed">
    <w:name w:val="VCAA Table Closed"/>
    <w:basedOn w:val="VCAATable"/>
    <w:uiPriority w:val="99"/>
    <w:rsid w:val="003E58A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3E58A9"/>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3E58A9"/>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3E58A9"/>
    <w:pPr>
      <w:spacing w:line="240" w:lineRule="auto"/>
      <w:jc w:val="center"/>
    </w:pPr>
    <w:rPr>
      <w:noProof/>
    </w:rPr>
  </w:style>
  <w:style w:type="character" w:customStyle="1" w:styleId="VCAAbodyChar">
    <w:name w:val="VCAA body Char"/>
    <w:basedOn w:val="DefaultParagraphFont"/>
    <w:link w:val="VCAAbody"/>
    <w:rsid w:val="003E58A9"/>
    <w:rPr>
      <w:rFonts w:ascii="Arial" w:hAnsi="Arial" w:cs="Arial"/>
      <w:color w:val="000000" w:themeColor="text1"/>
      <w:sz w:val="20"/>
    </w:rPr>
  </w:style>
  <w:style w:type="character" w:customStyle="1" w:styleId="VCAAfiguresChar">
    <w:name w:val="VCAA figures Char"/>
    <w:basedOn w:val="VCAAbodyChar"/>
    <w:link w:val="VCAAfigures"/>
    <w:rsid w:val="003E58A9"/>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3E58A9"/>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3E58A9"/>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DB10FE"/>
    <w:rPr>
      <w:color w:val="8DB3E2" w:themeColor="followedHyperlink"/>
      <w:u w:val="single"/>
    </w:rPr>
  </w:style>
  <w:style w:type="character" w:styleId="UnresolvedMention">
    <w:name w:val="Unresolved Mention"/>
    <w:basedOn w:val="DefaultParagraphFont"/>
    <w:uiPriority w:val="99"/>
    <w:semiHidden/>
    <w:unhideWhenUsed/>
    <w:rsid w:val="000D7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usicworksmagic.com/product/catch-a-so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AMUM022"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FDADC15F-D6DE-4AEF-BC3C-6344FFBE4FDF}"/>
</file>

<file path=customXml/itemProps4.xml><?xml version="1.0" encoding="utf-8"?>
<ds:datastoreItem xmlns:ds="http://schemas.openxmlformats.org/officeDocument/2006/customXml" ds:itemID="{C95994A3-6F9C-4584-8B8C-5F425B71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music</cp:keywords>
  <cp:lastPrinted>2020-03-04T04:43:00Z</cp:lastPrinted>
  <dcterms:created xsi:type="dcterms:W3CDTF">2020-09-22T08:08:00Z</dcterms:created>
  <dcterms:modified xsi:type="dcterms:W3CDTF">2020-09-25T04:41:00Z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