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C30E4" w14:textId="37BDA068" w:rsidR="00086CFC" w:rsidRDefault="00C2005D" w:rsidP="00F627E3">
      <w:pPr>
        <w:pStyle w:val="VCAAHeading1"/>
      </w:pPr>
      <w:bookmarkStart w:id="0" w:name="_GoBack"/>
      <w:bookmarkEnd w:id="0"/>
      <w:r>
        <w:t>E</w:t>
      </w:r>
      <w:r w:rsidR="00E56D1D">
        <w:t>m</w:t>
      </w:r>
      <w:r w:rsidR="007E7D1F">
        <w:t xml:space="preserve">bedding </w:t>
      </w:r>
      <w:r w:rsidR="00137103">
        <w:t>career education</w:t>
      </w:r>
      <w:r w:rsidR="007E7D1F">
        <w:t xml:space="preserve"> in </w:t>
      </w:r>
      <w:r w:rsidR="00E56D1D">
        <w:t>the Victorian Curriculum F–10</w:t>
      </w:r>
      <w:r w:rsidR="00086CFC">
        <w:t xml:space="preserve"> </w:t>
      </w:r>
    </w:p>
    <w:p w14:paraId="309AA2D5" w14:textId="7646159E" w:rsidR="004F6DE0" w:rsidRPr="008C0A84" w:rsidRDefault="006E4402" w:rsidP="004F6DE0">
      <w:pPr>
        <w:pStyle w:val="VCAAHeading2"/>
        <w:rPr>
          <w:lang w:val="en-AU"/>
        </w:rPr>
      </w:pPr>
      <w:bookmarkStart w:id="1" w:name="TemplateOverview"/>
      <w:bookmarkEnd w:id="1"/>
      <w:r>
        <w:rPr>
          <w:lang w:val="en-AU"/>
        </w:rPr>
        <w:t xml:space="preserve">Personal </w:t>
      </w:r>
      <w:r w:rsidR="00A202C1">
        <w:rPr>
          <w:lang w:val="en-AU"/>
        </w:rPr>
        <w:t xml:space="preserve">and </w:t>
      </w:r>
      <w:r>
        <w:rPr>
          <w:lang w:val="en-AU"/>
        </w:rPr>
        <w:t>Social</w:t>
      </w:r>
      <w:r w:rsidR="001E2722">
        <w:rPr>
          <w:lang w:val="en-AU"/>
        </w:rPr>
        <w:t xml:space="preserve"> Capability</w:t>
      </w:r>
      <w:r w:rsidR="006F58F8">
        <w:rPr>
          <w:lang w:val="en-AU"/>
        </w:rPr>
        <w:t>, Levels 9</w:t>
      </w:r>
      <w:r w:rsidR="004F6DE0" w:rsidRPr="008C0A84">
        <w:rPr>
          <w:lang w:val="en-AU"/>
        </w:rPr>
        <w:t xml:space="preserve"> and </w:t>
      </w:r>
      <w:r w:rsidR="006F58F8">
        <w:rPr>
          <w:lang w:val="en-AU"/>
        </w:rPr>
        <w:t>10</w:t>
      </w:r>
    </w:p>
    <w:p w14:paraId="2E354ED1" w14:textId="00BF78C5" w:rsidR="0038622E" w:rsidRPr="008C0A84" w:rsidRDefault="008B1278" w:rsidP="004F6DE0">
      <w:pPr>
        <w:pStyle w:val="VCAAbodyintrotext"/>
        <w:rPr>
          <w:lang w:val="en-AU"/>
        </w:rPr>
      </w:pPr>
      <w:r w:rsidRPr="008C0A84">
        <w:rPr>
          <w:lang w:val="en-AU"/>
        </w:rPr>
        <w:t>An e</w:t>
      </w:r>
      <w:r w:rsidR="00C6415E" w:rsidRPr="008C0A84">
        <w:rPr>
          <w:lang w:val="en-AU"/>
        </w:rPr>
        <w:t>xisting l</w:t>
      </w:r>
      <w:r w:rsidRPr="008C0A84">
        <w:rPr>
          <w:lang w:val="en-AU"/>
        </w:rPr>
        <w:t>earning activity</w:t>
      </w:r>
      <w:r w:rsidR="00254888" w:rsidRPr="008C0A84">
        <w:rPr>
          <w:lang w:val="en-AU"/>
        </w:rPr>
        <w:t xml:space="preserve"> linked to</w:t>
      </w:r>
      <w:r w:rsidRPr="008C0A84">
        <w:rPr>
          <w:lang w:val="en-AU"/>
        </w:rPr>
        <w:t xml:space="preserve"> a particular learning area or capability in the</w:t>
      </w:r>
      <w:r w:rsidR="00C6415E" w:rsidRPr="008C0A84">
        <w:rPr>
          <w:lang w:val="en-AU"/>
        </w:rPr>
        <w:t xml:space="preserve"> Victorian Curriculum F–10</w:t>
      </w:r>
      <w:r w:rsidR="0038622E" w:rsidRPr="008C0A84">
        <w:rPr>
          <w:lang w:val="en-AU"/>
        </w:rPr>
        <w:t xml:space="preserve"> can be</w:t>
      </w:r>
      <w:r w:rsidR="00255852" w:rsidRPr="008C0A84">
        <w:rPr>
          <w:lang w:val="en-AU"/>
        </w:rPr>
        <w:t xml:space="preserve"> easily</w:t>
      </w:r>
      <w:r w:rsidR="0038622E" w:rsidRPr="008C0A84">
        <w:rPr>
          <w:lang w:val="en-AU"/>
        </w:rPr>
        <w:t xml:space="preserve"> </w:t>
      </w:r>
      <w:r w:rsidR="00255852" w:rsidRPr="008C0A84">
        <w:rPr>
          <w:lang w:val="en-AU"/>
        </w:rPr>
        <w:t xml:space="preserve">adapted </w:t>
      </w:r>
      <w:r w:rsidR="0038622E" w:rsidRPr="008C0A84">
        <w:rPr>
          <w:lang w:val="en-AU"/>
        </w:rPr>
        <w:t xml:space="preserve">to incorporate </w:t>
      </w:r>
      <w:r w:rsidR="00137103">
        <w:rPr>
          <w:lang w:val="en-AU"/>
        </w:rPr>
        <w:t>career education</w:t>
      </w:r>
      <w:r w:rsidR="00255852" w:rsidRPr="008C0A84">
        <w:rPr>
          <w:lang w:val="en-AU"/>
        </w:rPr>
        <w:t>, enriching students’ career-related learning and skill development</w:t>
      </w:r>
      <w:r w:rsidR="00C6415E" w:rsidRPr="008C0A84">
        <w:rPr>
          <w:lang w:val="en-AU"/>
        </w:rPr>
        <w:t xml:space="preserve">. </w:t>
      </w:r>
    </w:p>
    <w:p w14:paraId="27EE590C" w14:textId="43E2E57C" w:rsidR="00255852" w:rsidRPr="008C0A84" w:rsidRDefault="00254888" w:rsidP="004F6DE0">
      <w:pPr>
        <w:pStyle w:val="VCAAHeading3"/>
        <w:rPr>
          <w:lang w:val="en-AU"/>
        </w:rPr>
      </w:pPr>
      <w:r w:rsidRPr="008C0A84">
        <w:rPr>
          <w:lang w:val="en-AU"/>
        </w:rPr>
        <w:t xml:space="preserve">1. Identify an existing learning activity </w:t>
      </w:r>
    </w:p>
    <w:p w14:paraId="0AE57492" w14:textId="11F069B3" w:rsidR="008B1278" w:rsidRPr="008C0A84" w:rsidRDefault="008B1278" w:rsidP="00F627E3">
      <w:pPr>
        <w:pStyle w:val="VCAAbody-withlargetabandhangingindent"/>
      </w:pPr>
      <w:r w:rsidRPr="008C0A84">
        <w:rPr>
          <w:b/>
        </w:rPr>
        <w:t>Curriculum area and levels:</w:t>
      </w:r>
      <w:r w:rsidRPr="008C0A84">
        <w:tab/>
      </w:r>
      <w:r w:rsidR="006E4402">
        <w:t>Personal</w:t>
      </w:r>
      <w:r w:rsidR="00A202C1">
        <w:t xml:space="preserve"> and</w:t>
      </w:r>
      <w:r w:rsidR="006E4402">
        <w:t xml:space="preserve"> Social Capability</w:t>
      </w:r>
      <w:r w:rsidRPr="008C0A84">
        <w:t xml:space="preserve">, Levels </w:t>
      </w:r>
      <w:r w:rsidR="006F58F8">
        <w:t>9</w:t>
      </w:r>
      <w:r w:rsidRPr="008C0A84">
        <w:t xml:space="preserve"> and </w:t>
      </w:r>
      <w:r w:rsidR="006F58F8">
        <w:t>10</w:t>
      </w:r>
    </w:p>
    <w:p w14:paraId="1FB5B60B" w14:textId="3599A107" w:rsidR="008B1278" w:rsidRPr="00137103" w:rsidRDefault="00254888" w:rsidP="008B1278">
      <w:pPr>
        <w:pStyle w:val="VCAAbody-withlargetabandhangingindent"/>
      </w:pPr>
      <w:r w:rsidRPr="008C0A84">
        <w:rPr>
          <w:b/>
        </w:rPr>
        <w:t>Relevant c</w:t>
      </w:r>
      <w:r w:rsidR="008B1278" w:rsidRPr="008C0A84">
        <w:rPr>
          <w:b/>
        </w:rPr>
        <w:t>ontent description:</w:t>
      </w:r>
      <w:r w:rsidR="006F58F8">
        <w:tab/>
      </w:r>
      <w:r w:rsidR="007D5BC3" w:rsidRPr="007D5BC3">
        <w:t>Analyse how divergent values and beliefs contribute to different perspectives on social issues (</w:t>
      </w:r>
      <w:hyperlink r:id="rId11" w:history="1">
        <w:r w:rsidR="007D5BC3" w:rsidRPr="00A202C1">
          <w:rPr>
            <w:rStyle w:val="Hyperlink"/>
          </w:rPr>
          <w:t>VCPSCSO047</w:t>
        </w:r>
      </w:hyperlink>
      <w:r w:rsidR="007D5BC3" w:rsidRPr="007D5BC3">
        <w:t>)</w:t>
      </w:r>
    </w:p>
    <w:p w14:paraId="36A2C730" w14:textId="490EB346" w:rsidR="007E7D1F" w:rsidRDefault="00B51FA6" w:rsidP="00B51FA6">
      <w:pPr>
        <w:pStyle w:val="VCAAbody-withlargetabandhangingindent"/>
      </w:pPr>
      <w:r w:rsidRPr="008C0A84">
        <w:rPr>
          <w:b/>
        </w:rPr>
        <w:t>Existing a</w:t>
      </w:r>
      <w:r w:rsidR="00254888" w:rsidRPr="008C0A84">
        <w:rPr>
          <w:b/>
        </w:rPr>
        <w:t>ctivity</w:t>
      </w:r>
      <w:r w:rsidR="00097F58">
        <w:rPr>
          <w:b/>
        </w:rPr>
        <w:t>:</w:t>
      </w:r>
      <w:r w:rsidR="00254888" w:rsidRPr="008C0A84">
        <w:tab/>
      </w:r>
      <w:r w:rsidR="007D5BC3">
        <w:t>R</w:t>
      </w:r>
      <w:r w:rsidR="007D5BC3" w:rsidRPr="007D5BC3">
        <w:t xml:space="preserve">eading </w:t>
      </w:r>
      <w:r w:rsidR="00A202C1">
        <w:t>media</w:t>
      </w:r>
      <w:r w:rsidR="007D5BC3" w:rsidRPr="007D5BC3">
        <w:t xml:space="preserve"> on a particular issue and </w:t>
      </w:r>
      <w:r w:rsidR="007D5BC3">
        <w:t>speculating on possible reasons for why</w:t>
      </w:r>
      <w:r w:rsidR="007D5BC3" w:rsidRPr="007D5BC3">
        <w:t xml:space="preserve"> different perspectives</w:t>
      </w:r>
      <w:r w:rsidR="007D5BC3">
        <w:t xml:space="preserve"> are</w:t>
      </w:r>
      <w:r w:rsidR="007D5BC3" w:rsidRPr="007D5BC3">
        <w:t xml:space="preserve"> presented</w:t>
      </w:r>
      <w:r w:rsidR="00D35D07">
        <w:t xml:space="preserve">. </w:t>
      </w:r>
    </w:p>
    <w:p w14:paraId="2364A01C" w14:textId="49C9F0E7" w:rsidR="00421DB1" w:rsidRPr="00137103" w:rsidRDefault="00421DB1" w:rsidP="00B51FA6">
      <w:pPr>
        <w:pStyle w:val="VCAAbody-withlargetabandhangingindent"/>
      </w:pPr>
      <w:r w:rsidRPr="00F627E3">
        <w:rPr>
          <w:b/>
          <w:bCs/>
        </w:rPr>
        <w:t>Summary of adaptation, change, addition:</w:t>
      </w:r>
      <w:r w:rsidRPr="00F627E3">
        <w:rPr>
          <w:b/>
          <w:bCs/>
        </w:rPr>
        <w:tab/>
      </w:r>
      <w:r w:rsidR="00B309DA" w:rsidRPr="00F627E3">
        <w:t>Identify</w:t>
      </w:r>
      <w:r w:rsidR="00A202C1" w:rsidRPr="00F627E3">
        <w:t>ing</w:t>
      </w:r>
      <w:r w:rsidR="00507472">
        <w:t xml:space="preserve"> and exploring</w:t>
      </w:r>
      <w:r w:rsidR="00B309DA" w:rsidRPr="00F627E3">
        <w:t xml:space="preserve"> a</w:t>
      </w:r>
      <w:r w:rsidR="007D5BC3" w:rsidRPr="00F627E3">
        <w:t xml:space="preserve"> specific workplace </w:t>
      </w:r>
      <w:r w:rsidR="00B309DA" w:rsidRPr="00F627E3">
        <w:t>issue</w:t>
      </w:r>
      <w:r w:rsidR="00D07412" w:rsidRPr="00F627E3">
        <w:t xml:space="preserve"> currently debated in the media</w:t>
      </w:r>
      <w:r w:rsidR="007D5BC3" w:rsidRPr="00F627E3">
        <w:t>, such as underpayment in the hospitality and service industries</w:t>
      </w:r>
      <w:r w:rsidR="00DB533D" w:rsidRPr="00F627E3">
        <w:t>.</w:t>
      </w:r>
    </w:p>
    <w:p w14:paraId="65DFB73F" w14:textId="3A018B10" w:rsidR="00254888" w:rsidRDefault="00254888" w:rsidP="00F627E3">
      <w:pPr>
        <w:pStyle w:val="VCAAHeading3"/>
        <w:rPr>
          <w:lang w:val="en-AU"/>
        </w:rPr>
      </w:pPr>
      <w:r w:rsidRPr="008C0A84">
        <w:rPr>
          <w:lang w:val="en-AU"/>
        </w:rPr>
        <w:t xml:space="preserve">2. Adapt the learning activity to </w:t>
      </w:r>
      <w:r w:rsidR="00FF47DF" w:rsidRPr="008C0A84">
        <w:rPr>
          <w:lang w:val="en-AU"/>
        </w:rPr>
        <w:t>include</w:t>
      </w:r>
      <w:r w:rsidRPr="008C0A84">
        <w:rPr>
          <w:lang w:val="en-AU"/>
        </w:rPr>
        <w:t xml:space="preserve"> a </w:t>
      </w:r>
      <w:r w:rsidR="00137103">
        <w:rPr>
          <w:lang w:val="en-AU"/>
        </w:rPr>
        <w:t>career education</w:t>
      </w:r>
      <w:r w:rsidRPr="008C0A84">
        <w:rPr>
          <w:lang w:val="en-AU"/>
        </w:rPr>
        <w:t xml:space="preserve"> focus</w:t>
      </w:r>
    </w:p>
    <w:tbl>
      <w:tblPr>
        <w:tblStyle w:val="VCAATable"/>
        <w:tblW w:w="988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activity with adapted learning activity"/>
        <w:tblDescription w:val="Two-column table comparing existing learning activity with adapted learning activity"/>
      </w:tblPr>
      <w:tblGrid>
        <w:gridCol w:w="5098"/>
        <w:gridCol w:w="4791"/>
      </w:tblGrid>
      <w:tr w:rsidR="00254888" w:rsidRPr="008C0A84" w14:paraId="47FFE019" w14:textId="77777777" w:rsidTr="00F627E3">
        <w:trPr>
          <w:cnfStyle w:val="100000000000" w:firstRow="1" w:lastRow="0" w:firstColumn="0" w:lastColumn="0" w:oddVBand="0" w:evenVBand="0" w:oddHBand="0" w:evenHBand="0" w:firstRowFirstColumn="0" w:firstRowLastColumn="0" w:lastRowFirstColumn="0" w:lastRowLastColumn="0"/>
        </w:trPr>
        <w:tc>
          <w:tcPr>
            <w:tcW w:w="5098" w:type="dxa"/>
            <w:tcBorders>
              <w:bottom w:val="single" w:sz="4" w:space="0" w:color="auto"/>
              <w:right w:val="none" w:sz="0" w:space="0" w:color="auto"/>
            </w:tcBorders>
          </w:tcPr>
          <w:p w14:paraId="3D273835" w14:textId="7852C108" w:rsidR="00254888" w:rsidRPr="008C0A84" w:rsidRDefault="00254888" w:rsidP="00B51FA6">
            <w:pPr>
              <w:pStyle w:val="VCAAtablecondensedheading"/>
              <w:rPr>
                <w:lang w:val="en-AU"/>
              </w:rPr>
            </w:pPr>
            <w:r w:rsidRPr="008C0A84">
              <w:rPr>
                <w:lang w:val="en-AU"/>
              </w:rPr>
              <w:t>Existing learning activity</w:t>
            </w:r>
          </w:p>
        </w:tc>
        <w:tc>
          <w:tcPr>
            <w:tcW w:w="4791" w:type="dxa"/>
            <w:tcBorders>
              <w:left w:val="none" w:sz="0" w:space="0" w:color="auto"/>
              <w:bottom w:val="single" w:sz="4" w:space="0" w:color="auto"/>
            </w:tcBorders>
          </w:tcPr>
          <w:p w14:paraId="24A423D8" w14:textId="2A06455F" w:rsidR="00254888" w:rsidRPr="008C0A84" w:rsidRDefault="00E9592C" w:rsidP="00B51FA6">
            <w:pPr>
              <w:pStyle w:val="VCAAtablecondensedheading"/>
              <w:rPr>
                <w:lang w:val="en-AU"/>
              </w:rPr>
            </w:pPr>
            <w:r>
              <w:rPr>
                <w:lang w:val="en-AU"/>
              </w:rPr>
              <w:t>Adaptations, changes or extensions that can be made</w:t>
            </w:r>
          </w:p>
        </w:tc>
      </w:tr>
      <w:tr w:rsidR="00254888" w:rsidRPr="008C0A84" w14:paraId="20588B85" w14:textId="77777777" w:rsidTr="00F627E3">
        <w:tc>
          <w:tcPr>
            <w:tcW w:w="5098" w:type="dxa"/>
          </w:tcPr>
          <w:p w14:paraId="77B23B0E" w14:textId="55ECB85C" w:rsidR="00254888" w:rsidRDefault="00C11C98" w:rsidP="00495592">
            <w:pPr>
              <w:pStyle w:val="VCAAtablecondensed"/>
              <w:rPr>
                <w:lang w:val="en-AU"/>
              </w:rPr>
            </w:pPr>
            <w:r>
              <w:rPr>
                <w:lang w:val="en-AU"/>
              </w:rPr>
              <w:t xml:space="preserve">Teacher identifies several short articles, comments or opinion pieces about </w:t>
            </w:r>
            <w:r w:rsidR="00A202C1">
              <w:rPr>
                <w:lang w:val="en-AU"/>
              </w:rPr>
              <w:t>a topical issue, where different opinions on the issue are presented</w:t>
            </w:r>
            <w:r>
              <w:rPr>
                <w:lang w:val="en-AU"/>
              </w:rPr>
              <w:t>.</w:t>
            </w:r>
            <w:r w:rsidR="0034529C">
              <w:rPr>
                <w:lang w:val="en-AU"/>
              </w:rPr>
              <w:t xml:space="preserve"> Class read these examples together.</w:t>
            </w:r>
          </w:p>
          <w:p w14:paraId="46A85701" w14:textId="7DBD0149" w:rsidR="00C11C98" w:rsidRPr="008C0A84" w:rsidRDefault="00C11C98" w:rsidP="00D07412">
            <w:pPr>
              <w:pStyle w:val="VCAAtablecondensed"/>
              <w:rPr>
                <w:lang w:val="en-AU"/>
              </w:rPr>
            </w:pPr>
            <w:r>
              <w:rPr>
                <w:lang w:val="en-AU"/>
              </w:rPr>
              <w:t>Alternatively, teachers may prefer to write up short mock examples of their own.</w:t>
            </w:r>
          </w:p>
        </w:tc>
        <w:tc>
          <w:tcPr>
            <w:tcW w:w="4791" w:type="dxa"/>
          </w:tcPr>
          <w:p w14:paraId="127F7961" w14:textId="3E3F00F4" w:rsidR="00457521" w:rsidRDefault="00B466B0" w:rsidP="00B51FA6">
            <w:pPr>
              <w:pStyle w:val="VCAAtablecondensed"/>
              <w:rPr>
                <w:lang w:val="en-AU"/>
              </w:rPr>
            </w:pPr>
            <w:r>
              <w:rPr>
                <w:lang w:val="en-AU"/>
              </w:rPr>
              <w:t>Teacher adapts the activity so that</w:t>
            </w:r>
            <w:r w:rsidR="00A202C1">
              <w:rPr>
                <w:lang w:val="en-AU"/>
              </w:rPr>
              <w:t xml:space="preserve"> t</w:t>
            </w:r>
            <w:r w:rsidR="00F22B91">
              <w:rPr>
                <w:lang w:val="en-AU"/>
              </w:rPr>
              <w:t xml:space="preserve">he </w:t>
            </w:r>
            <w:r>
              <w:rPr>
                <w:lang w:val="en-AU"/>
              </w:rPr>
              <w:t xml:space="preserve">articles, comments or opinion pieces </w:t>
            </w:r>
            <w:r w:rsidR="00AC056A">
              <w:rPr>
                <w:lang w:val="en-AU"/>
              </w:rPr>
              <w:t xml:space="preserve">provided </w:t>
            </w:r>
            <w:r w:rsidR="00F22B91">
              <w:rPr>
                <w:lang w:val="en-AU"/>
              </w:rPr>
              <w:t>relate to a</w:t>
            </w:r>
            <w:r w:rsidR="00AC056A">
              <w:rPr>
                <w:lang w:val="en-AU"/>
              </w:rPr>
              <w:t xml:space="preserve"> specific workplace context in which there is public disagreement.</w:t>
            </w:r>
            <w:r w:rsidR="00C411F8">
              <w:rPr>
                <w:lang w:val="en-AU"/>
              </w:rPr>
              <w:t xml:space="preserve"> </w:t>
            </w:r>
          </w:p>
          <w:p w14:paraId="092660B4" w14:textId="67D49E10" w:rsidR="00AC056A" w:rsidRPr="0025159B" w:rsidRDefault="00AC056A" w:rsidP="0025159B">
            <w:pPr>
              <w:pStyle w:val="VCAAtablecondensed"/>
              <w:rPr>
                <w:lang w:val="en-AU"/>
              </w:rPr>
            </w:pPr>
            <w:r>
              <w:rPr>
                <w:lang w:val="en-AU"/>
              </w:rPr>
              <w:t>For exam</w:t>
            </w:r>
            <w:r w:rsidR="0025159B">
              <w:rPr>
                <w:lang w:val="en-AU"/>
              </w:rPr>
              <w:t xml:space="preserve">ple, </w:t>
            </w:r>
            <w:r w:rsidR="002E762B">
              <w:rPr>
                <w:lang w:val="en-AU"/>
              </w:rPr>
              <w:t xml:space="preserve">students could explore </w:t>
            </w:r>
            <w:r w:rsidR="0025159B">
              <w:rPr>
                <w:lang w:val="en-AU"/>
              </w:rPr>
              <w:t>disagreements relating to t</w:t>
            </w:r>
            <w:r>
              <w:rPr>
                <w:lang w:val="en-AU"/>
              </w:rPr>
              <w:t>he underpayment of casual staff members in the ho</w:t>
            </w:r>
            <w:r w:rsidR="0025159B">
              <w:rPr>
                <w:lang w:val="en-AU"/>
              </w:rPr>
              <w:t>spitality and service industry.</w:t>
            </w:r>
            <w:r w:rsidR="00C411F8">
              <w:rPr>
                <w:lang w:val="en-AU"/>
              </w:rPr>
              <w:t xml:space="preserve"> </w:t>
            </w:r>
          </w:p>
        </w:tc>
      </w:tr>
      <w:tr w:rsidR="00254888" w:rsidRPr="008C0A84" w14:paraId="47C09381" w14:textId="77777777" w:rsidTr="00F627E3">
        <w:tc>
          <w:tcPr>
            <w:tcW w:w="5098" w:type="dxa"/>
          </w:tcPr>
          <w:p w14:paraId="099F6E4C" w14:textId="3E3D1742" w:rsidR="00254888" w:rsidRDefault="00A202C1" w:rsidP="0034529C">
            <w:pPr>
              <w:pStyle w:val="VCAAtablecondensed"/>
              <w:rPr>
                <w:lang w:val="en-AU"/>
              </w:rPr>
            </w:pPr>
            <w:r>
              <w:rPr>
                <w:lang w:val="en-AU"/>
              </w:rPr>
              <w:t>Teacher facilitates a c</w:t>
            </w:r>
            <w:r w:rsidR="00F22B91">
              <w:rPr>
                <w:lang w:val="en-AU"/>
              </w:rPr>
              <w:t>lass discussion defining the concepts</w:t>
            </w:r>
            <w:r w:rsidR="0034529C">
              <w:rPr>
                <w:lang w:val="en-AU"/>
              </w:rPr>
              <w:t xml:space="preserve"> ‘beli</w:t>
            </w:r>
            <w:r w:rsidR="00F22B91">
              <w:rPr>
                <w:lang w:val="en-AU"/>
              </w:rPr>
              <w:t>ef’ and ‘value’. In doing so, teacher raises</w:t>
            </w:r>
            <w:r w:rsidR="0034529C">
              <w:rPr>
                <w:lang w:val="en-AU"/>
              </w:rPr>
              <w:t xml:space="preserve"> questions such as: </w:t>
            </w:r>
          </w:p>
          <w:p w14:paraId="603FE1C0" w14:textId="350599FB" w:rsidR="00AC056A" w:rsidRDefault="00AC056A" w:rsidP="00F627E3">
            <w:pPr>
              <w:pStyle w:val="VCAAtablecondensedbullet"/>
            </w:pPr>
            <w:r>
              <w:t xml:space="preserve">Do people always </w:t>
            </w:r>
            <w:r w:rsidR="00BE4EC5">
              <w:t>recognise their own and others</w:t>
            </w:r>
            <w:r w:rsidR="00507472">
              <w:t>’</w:t>
            </w:r>
            <w:r w:rsidR="0034529C">
              <w:t xml:space="preserve"> beliefs and values?</w:t>
            </w:r>
            <w:r>
              <w:t xml:space="preserve"> </w:t>
            </w:r>
            <w:r w:rsidR="00F22B91">
              <w:t>C</w:t>
            </w:r>
            <w:r>
              <w:t>onsider contexts in which people make assumptions</w:t>
            </w:r>
            <w:r w:rsidR="00BE4EC5">
              <w:t xml:space="preserve"> or have low awareness</w:t>
            </w:r>
            <w:r>
              <w:t>, and why.</w:t>
            </w:r>
          </w:p>
          <w:p w14:paraId="4055BB0E" w14:textId="299374A4" w:rsidR="00AC056A" w:rsidRDefault="00AC056A" w:rsidP="00F627E3">
            <w:pPr>
              <w:pStyle w:val="VCAAtablecondensedbullet"/>
            </w:pPr>
            <w:r>
              <w:t>How do beliefs and values affect each other?</w:t>
            </w:r>
            <w:r w:rsidR="00F22B91">
              <w:t xml:space="preserve"> P</w:t>
            </w:r>
            <w:r>
              <w:t xml:space="preserve">oint to contexts in which people may make assumptions based on values, or value something because of a widespread belief. </w:t>
            </w:r>
          </w:p>
          <w:p w14:paraId="123E135F" w14:textId="7188F572" w:rsidR="00AC056A" w:rsidRPr="00AC056A" w:rsidRDefault="00AC056A" w:rsidP="00F627E3">
            <w:pPr>
              <w:pStyle w:val="VCAAtablecondensedbullet"/>
            </w:pPr>
            <w:r>
              <w:t xml:space="preserve">How do an individual’s beliefs and values relate to the groups of which they are a part? </w:t>
            </w:r>
          </w:p>
        </w:tc>
        <w:tc>
          <w:tcPr>
            <w:tcW w:w="4791" w:type="dxa"/>
          </w:tcPr>
          <w:p w14:paraId="3B11DC35" w14:textId="785054CD" w:rsidR="000200EC" w:rsidRPr="00F627E3" w:rsidRDefault="00AC056A" w:rsidP="00AC056A">
            <w:pPr>
              <w:pStyle w:val="VCAAtablecondensed"/>
            </w:pPr>
            <w:r w:rsidRPr="00F627E3">
              <w:t>I</w:t>
            </w:r>
            <w:r w:rsidR="00F941CA" w:rsidRPr="00F627E3">
              <w:t>n addition, the discussion i</w:t>
            </w:r>
            <w:r w:rsidRPr="00F627E3">
              <w:t>dentif</w:t>
            </w:r>
            <w:r w:rsidR="00A202C1" w:rsidRPr="00F627E3">
              <w:t>ies</w:t>
            </w:r>
            <w:r w:rsidRPr="00F627E3">
              <w:t xml:space="preserve"> </w:t>
            </w:r>
            <w:r w:rsidR="002E762B" w:rsidRPr="00F627E3">
              <w:t xml:space="preserve">the </w:t>
            </w:r>
            <w:r w:rsidRPr="00F627E3">
              <w:t>stakeholder groups in</w:t>
            </w:r>
            <w:r w:rsidR="00F941CA" w:rsidRPr="00F627E3">
              <w:t xml:space="preserve"> the</w:t>
            </w:r>
            <w:r w:rsidRPr="00F627E3">
              <w:t xml:space="preserve"> selected workplace context,</w:t>
            </w:r>
            <w:r w:rsidR="000200EC" w:rsidRPr="00F627E3">
              <w:t xml:space="preserve"> and any core beliefs and values held by these groups.</w:t>
            </w:r>
            <w:r w:rsidRPr="00F627E3">
              <w:t xml:space="preserve"> </w:t>
            </w:r>
          </w:p>
          <w:p w14:paraId="7279DA82" w14:textId="21B481BD" w:rsidR="0085130D" w:rsidRPr="00AC056A" w:rsidRDefault="00A202C1" w:rsidP="009E0E29">
            <w:pPr>
              <w:pStyle w:val="VCAAtablecondensed"/>
              <w:rPr>
                <w:color w:val="auto"/>
                <w:lang w:val="en-AU"/>
              </w:rPr>
            </w:pPr>
            <w:r w:rsidRPr="00F627E3">
              <w:t>G</w:t>
            </w:r>
            <w:r w:rsidR="000200EC" w:rsidRPr="00F627E3">
              <w:t xml:space="preserve">roups may </w:t>
            </w:r>
            <w:r w:rsidR="009E0E29" w:rsidRPr="00F627E3">
              <w:t>include employers, w</w:t>
            </w:r>
            <w:r w:rsidR="00AC056A" w:rsidRPr="00F627E3">
              <w:t>orkers</w:t>
            </w:r>
            <w:r w:rsidR="009E0E29" w:rsidRPr="00F627E3">
              <w:t>, c</w:t>
            </w:r>
            <w:r w:rsidR="00AC056A" w:rsidRPr="00F627E3">
              <w:t>onsumers or customers</w:t>
            </w:r>
            <w:r w:rsidR="009E0E29" w:rsidRPr="00F627E3">
              <w:t>, u</w:t>
            </w:r>
            <w:r w:rsidR="000200EC" w:rsidRPr="00F627E3">
              <w:t>nions</w:t>
            </w:r>
            <w:r w:rsidR="009E0E29" w:rsidRPr="00F627E3">
              <w:t>, m</w:t>
            </w:r>
            <w:r w:rsidR="000200EC" w:rsidRPr="00F627E3">
              <w:t>anagement</w:t>
            </w:r>
            <w:r w:rsidR="009E0E29" w:rsidRPr="00F627E3">
              <w:t>, the b</w:t>
            </w:r>
            <w:r w:rsidR="00AC056A" w:rsidRPr="00F627E3">
              <w:t>roader</w:t>
            </w:r>
            <w:r w:rsidR="000200EC" w:rsidRPr="00F627E3">
              <w:t xml:space="preserve"> Australian</w:t>
            </w:r>
            <w:r w:rsidR="00AC056A" w:rsidRPr="00F627E3">
              <w:t xml:space="preserve"> society</w:t>
            </w:r>
            <w:r w:rsidR="009E0E29" w:rsidRPr="00F627E3">
              <w:t>, or so on.</w:t>
            </w:r>
            <w:r w:rsidR="0085130D" w:rsidRPr="00F627E3">
              <w:t xml:space="preserve"> </w:t>
            </w:r>
          </w:p>
        </w:tc>
      </w:tr>
      <w:tr w:rsidR="00254888" w:rsidRPr="008C0A84" w14:paraId="3F7C9F0C" w14:textId="77777777" w:rsidTr="00F627E3">
        <w:tc>
          <w:tcPr>
            <w:tcW w:w="5098" w:type="dxa"/>
            <w:tcBorders>
              <w:bottom w:val="single" w:sz="4" w:space="0" w:color="auto"/>
            </w:tcBorders>
          </w:tcPr>
          <w:p w14:paraId="446FB8DB" w14:textId="305F1D4C" w:rsidR="00254888" w:rsidRPr="008C0A84" w:rsidRDefault="0085130D" w:rsidP="00AC056A">
            <w:pPr>
              <w:pStyle w:val="VCAAtablecondensed"/>
              <w:rPr>
                <w:lang w:val="en-AU"/>
              </w:rPr>
            </w:pPr>
            <w:r>
              <w:rPr>
                <w:lang w:val="en-AU"/>
              </w:rPr>
              <w:t>Teacher leads a class</w:t>
            </w:r>
            <w:r w:rsidR="0034529C">
              <w:rPr>
                <w:lang w:val="en-AU"/>
              </w:rPr>
              <w:t xml:space="preserve"> </w:t>
            </w:r>
            <w:r w:rsidR="009010E9">
              <w:rPr>
                <w:lang w:val="en-AU"/>
              </w:rPr>
              <w:t>brainstorm</w:t>
            </w:r>
            <w:r w:rsidR="00AC056A">
              <w:rPr>
                <w:lang w:val="en-AU"/>
              </w:rPr>
              <w:t xml:space="preserve"> about what </w:t>
            </w:r>
            <w:r w:rsidR="0034529C">
              <w:rPr>
                <w:lang w:val="en-AU"/>
              </w:rPr>
              <w:t>beliefs</w:t>
            </w:r>
            <w:r w:rsidR="00AC056A">
              <w:rPr>
                <w:lang w:val="en-AU"/>
              </w:rPr>
              <w:t xml:space="preserve"> or values</w:t>
            </w:r>
            <w:r w:rsidR="0034529C">
              <w:rPr>
                <w:lang w:val="en-AU"/>
              </w:rPr>
              <w:t xml:space="preserve"> might be present within one of the written examples.</w:t>
            </w:r>
            <w:r w:rsidR="00AC056A">
              <w:rPr>
                <w:lang w:val="en-AU"/>
              </w:rPr>
              <w:t xml:space="preserve"> </w:t>
            </w:r>
            <w:r w:rsidR="009010E9">
              <w:rPr>
                <w:lang w:val="en-AU"/>
              </w:rPr>
              <w:t>Te</w:t>
            </w:r>
            <w:r w:rsidR="00C86568">
              <w:rPr>
                <w:lang w:val="en-AU"/>
              </w:rPr>
              <w:t>acher records the</w:t>
            </w:r>
            <w:r w:rsidR="009010E9">
              <w:rPr>
                <w:lang w:val="en-AU"/>
              </w:rPr>
              <w:t xml:space="preserve"> brainstorm on a whiteboard. </w:t>
            </w:r>
          </w:p>
        </w:tc>
        <w:tc>
          <w:tcPr>
            <w:tcW w:w="4791" w:type="dxa"/>
            <w:tcBorders>
              <w:bottom w:val="single" w:sz="4" w:space="0" w:color="auto"/>
            </w:tcBorders>
          </w:tcPr>
          <w:p w14:paraId="0D137BAF" w14:textId="1CC79E58" w:rsidR="0085130D" w:rsidRPr="00B74D78" w:rsidRDefault="00507472" w:rsidP="0085130D">
            <w:pPr>
              <w:pStyle w:val="VCAAtablecondensed"/>
              <w:rPr>
                <w:color w:val="auto"/>
                <w:lang w:val="en-AU"/>
              </w:rPr>
            </w:pPr>
            <w:r>
              <w:t>As an extension, s</w:t>
            </w:r>
            <w:r w:rsidR="002E762B" w:rsidRPr="00F627E3">
              <w:t xml:space="preserve">tudents consider how the beliefs and values of the stakeholder groups impact on their perspective on the issue. </w:t>
            </w:r>
          </w:p>
        </w:tc>
      </w:tr>
      <w:tr w:rsidR="00457521" w:rsidRPr="008C0A84" w14:paraId="63793E0F" w14:textId="77777777" w:rsidTr="00F627E3">
        <w:tc>
          <w:tcPr>
            <w:tcW w:w="5098" w:type="dxa"/>
          </w:tcPr>
          <w:p w14:paraId="7674DB26" w14:textId="32F10D73" w:rsidR="00457521" w:rsidRPr="008C0A84" w:rsidRDefault="00FB6552" w:rsidP="00FB6552">
            <w:pPr>
              <w:pStyle w:val="VCAAtablecondensed"/>
              <w:rPr>
                <w:lang w:val="en-AU"/>
              </w:rPr>
            </w:pPr>
            <w:r>
              <w:rPr>
                <w:lang w:val="en-AU"/>
              </w:rPr>
              <w:lastRenderedPageBreak/>
              <w:t xml:space="preserve">In small groups, students analyse the remaining examples for possible beliefs and values. Student write down </w:t>
            </w:r>
            <w:r w:rsidR="002D2304">
              <w:rPr>
                <w:lang w:val="en-AU"/>
              </w:rPr>
              <w:t>which beliefs or values are central to the main points of disagreement, as well as points of agreement.</w:t>
            </w:r>
          </w:p>
        </w:tc>
        <w:tc>
          <w:tcPr>
            <w:tcW w:w="4791" w:type="dxa"/>
          </w:tcPr>
          <w:p w14:paraId="088F997E" w14:textId="77777777" w:rsidR="002E762B" w:rsidRPr="00F627E3" w:rsidRDefault="002E762B" w:rsidP="002E762B">
            <w:pPr>
              <w:pStyle w:val="VCAAtablecondensed"/>
            </w:pPr>
            <w:r w:rsidRPr="00F627E3">
              <w:t xml:space="preserve">Teacher leads students to identify how they fit into the stakeholder groups identified, if at all. They also consider how their personal values and beliefs align with stakeholder groups they’re not a part of, and how that could affect their future. For example, would they want to join a union when they enter the workplace? </w:t>
            </w:r>
          </w:p>
          <w:p w14:paraId="7C083F81" w14:textId="0E7DB6CB" w:rsidR="005427B2" w:rsidRPr="00FB6552" w:rsidRDefault="002E762B" w:rsidP="002E762B">
            <w:pPr>
              <w:pStyle w:val="VCAAtablecondensed"/>
              <w:rPr>
                <w:lang w:val="en-AU"/>
              </w:rPr>
            </w:pPr>
            <w:r>
              <w:rPr>
                <w:lang w:val="en-AU"/>
              </w:rPr>
              <w:t>Students draw from their own experiences relating to beliefs and values in the workplace groups where possible.</w:t>
            </w:r>
            <w:r w:rsidR="009010E9">
              <w:rPr>
                <w:lang w:val="en-AU"/>
              </w:rPr>
              <w:t xml:space="preserve"> </w:t>
            </w:r>
          </w:p>
        </w:tc>
      </w:tr>
    </w:tbl>
    <w:p w14:paraId="09A99834" w14:textId="3467CB77" w:rsidR="00AD2425" w:rsidRPr="00AD2425" w:rsidRDefault="00B51FA6" w:rsidP="00BC5E7C">
      <w:pPr>
        <w:pStyle w:val="VCAAHeading4"/>
        <w:rPr>
          <w:lang w:val="en-AU"/>
        </w:rPr>
      </w:pPr>
      <w:r w:rsidRPr="008C0A84">
        <w:rPr>
          <w:lang w:val="en-AU"/>
        </w:rPr>
        <w:t>C</w:t>
      </w:r>
      <w:r w:rsidR="0038622E" w:rsidRPr="008C0A84">
        <w:rPr>
          <w:lang w:val="en-AU"/>
        </w:rPr>
        <w:t>onsiderations</w:t>
      </w:r>
      <w:r w:rsidR="00255852" w:rsidRPr="008C0A84">
        <w:rPr>
          <w:lang w:val="en-AU"/>
        </w:rPr>
        <w:t xml:space="preserve"> when </w:t>
      </w:r>
      <w:r w:rsidR="001A39A9" w:rsidRPr="008C0A84">
        <w:rPr>
          <w:lang w:val="en-AU"/>
        </w:rPr>
        <w:t xml:space="preserve">adapting the </w:t>
      </w:r>
      <w:r w:rsidR="001926FE" w:rsidRPr="008C0A84">
        <w:rPr>
          <w:lang w:val="en-AU"/>
        </w:rPr>
        <w:t>learning</w:t>
      </w:r>
      <w:r w:rsidR="00255852" w:rsidRPr="008C0A84">
        <w:rPr>
          <w:lang w:val="en-AU"/>
        </w:rPr>
        <w:t xml:space="preserve"> activity</w:t>
      </w:r>
    </w:p>
    <w:p w14:paraId="4B46456D" w14:textId="5EFE1C52" w:rsidR="00E952CE" w:rsidRDefault="00E952CE" w:rsidP="002F04B9">
      <w:pPr>
        <w:pStyle w:val="VCAAbullet"/>
      </w:pPr>
      <w:r w:rsidRPr="00137103">
        <w:t>Depending upon the cohort and the issue selected, students may need further support. Some workplace issues will be more familiar to them with others</w:t>
      </w:r>
      <w:r w:rsidR="00EA3DD7" w:rsidRPr="00137103">
        <w:t>. For instance,</w:t>
      </w:r>
      <w:r w:rsidRPr="00137103">
        <w:t xml:space="preserve"> hospitality will be a more familiar context to most than construction</w:t>
      </w:r>
      <w:r w:rsidR="00EA3DD7" w:rsidRPr="00137103">
        <w:t xml:space="preserve"> for most students</w:t>
      </w:r>
      <w:r w:rsidRPr="00137103">
        <w:t xml:space="preserve">. Even so, teachers should not </w:t>
      </w:r>
      <w:r w:rsidR="00EA3DD7" w:rsidRPr="00137103">
        <w:t xml:space="preserve">assume that students understand workplace terminology or ideas (e.g. </w:t>
      </w:r>
      <w:r w:rsidR="00C411F8" w:rsidRPr="00137103">
        <w:t>‘</w:t>
      </w:r>
      <w:r w:rsidR="00EA3DD7" w:rsidRPr="00137103">
        <w:t>overtime’ or ‘leave’).</w:t>
      </w:r>
    </w:p>
    <w:p w14:paraId="5A560C16" w14:textId="2B3C14C0" w:rsidR="00B466B0" w:rsidRPr="00F627E3" w:rsidRDefault="00B466B0" w:rsidP="002F04B9">
      <w:pPr>
        <w:pStyle w:val="VCAAbullet"/>
      </w:pPr>
      <w:r>
        <w:t>Teachers would benefit from ensuring they have up-to-date information related to the example of their choice, particularly if it’s an issue that could directly impact students’ working lives, such as wage theft.</w:t>
      </w:r>
    </w:p>
    <w:p w14:paraId="672CA9D4" w14:textId="77777777" w:rsidR="00E952CE" w:rsidRDefault="00DB533D" w:rsidP="00E952CE">
      <w:pPr>
        <w:pStyle w:val="VCAAHeading4"/>
        <w:rPr>
          <w:lang w:val="en-AU"/>
        </w:rPr>
      </w:pPr>
      <w:r>
        <w:t xml:space="preserve">Additional resources to help when adapting the learning </w:t>
      </w:r>
      <w:r w:rsidR="00E952CE" w:rsidRPr="008C0A84">
        <w:rPr>
          <w:lang w:val="en-AU"/>
        </w:rPr>
        <w:t>activity</w:t>
      </w:r>
    </w:p>
    <w:p w14:paraId="377C0547" w14:textId="1718A275" w:rsidR="00E952CE" w:rsidRPr="002F04B9" w:rsidRDefault="00B82021" w:rsidP="002F04B9">
      <w:pPr>
        <w:pStyle w:val="VCAAbullet"/>
        <w:rPr>
          <w:lang w:val="en-AU" w:eastAsia="en-AU"/>
        </w:rPr>
      </w:pPr>
      <w:hyperlink r:id="rId12" w:history="1">
        <w:r w:rsidR="00E952CE" w:rsidRPr="00C411F8">
          <w:rPr>
            <w:rStyle w:val="Hyperlink"/>
            <w:szCs w:val="18"/>
          </w:rPr>
          <w:t>Fair W</w:t>
        </w:r>
        <w:r w:rsidR="006D7966" w:rsidRPr="00C411F8">
          <w:rPr>
            <w:rStyle w:val="Hyperlink"/>
            <w:szCs w:val="18"/>
          </w:rPr>
          <w:t>ork Australia</w:t>
        </w:r>
      </w:hyperlink>
      <w:r w:rsidR="00E952CE" w:rsidRPr="00137103">
        <w:t xml:space="preserve"> </w:t>
      </w:r>
    </w:p>
    <w:p w14:paraId="3DF2DC04" w14:textId="1342ECAC" w:rsidR="002F04B9" w:rsidRPr="000076B1" w:rsidRDefault="00B82021" w:rsidP="002F04B9">
      <w:pPr>
        <w:pStyle w:val="VCAAbullet"/>
        <w:rPr>
          <w:lang w:val="en-AU" w:eastAsia="en-AU"/>
        </w:rPr>
      </w:pPr>
      <w:hyperlink r:id="rId13" w:history="1">
        <w:r w:rsidR="002F04B9" w:rsidRPr="00C411F8">
          <w:rPr>
            <w:rStyle w:val="Hyperlink"/>
            <w:szCs w:val="18"/>
          </w:rPr>
          <w:t>Young Workers Centre</w:t>
        </w:r>
      </w:hyperlink>
      <w:r w:rsidR="002F04B9" w:rsidRPr="008972DC">
        <w:t xml:space="preserve"> </w:t>
      </w:r>
      <w:r w:rsidR="00C411F8" w:rsidRPr="008972DC">
        <w:t>(</w:t>
      </w:r>
      <w:r w:rsidR="002F04B9" w:rsidRPr="008972DC">
        <w:t>information and support for young people seeking or in work</w:t>
      </w:r>
      <w:r w:rsidR="00C411F8" w:rsidRPr="008972DC">
        <w:t>)</w:t>
      </w:r>
    </w:p>
    <w:p w14:paraId="5B6532E0" w14:textId="3A54ED9E" w:rsidR="00F01253" w:rsidRPr="008C0A84" w:rsidRDefault="00905484" w:rsidP="00E952CE">
      <w:pPr>
        <w:pStyle w:val="VCAAHeading4"/>
        <w:rPr>
          <w:lang w:val="en-AU"/>
        </w:rPr>
      </w:pPr>
      <w:r w:rsidRPr="008C0A84">
        <w:rPr>
          <w:lang w:val="en-AU"/>
        </w:rPr>
        <w:t>B</w:t>
      </w:r>
      <w:r w:rsidR="0038622E" w:rsidRPr="008C0A84">
        <w:rPr>
          <w:lang w:val="en-AU"/>
        </w:rPr>
        <w:t>enefit</w:t>
      </w:r>
      <w:r w:rsidR="00425FD1" w:rsidRPr="008C0A84">
        <w:rPr>
          <w:lang w:val="en-AU"/>
        </w:rPr>
        <w:t>s for</w:t>
      </w:r>
      <w:r w:rsidR="0038622E" w:rsidRPr="008C0A84">
        <w:rPr>
          <w:lang w:val="en-AU"/>
        </w:rPr>
        <w:t xml:space="preserve"> </w:t>
      </w:r>
      <w:r w:rsidR="007E7D1F" w:rsidRPr="008C0A84">
        <w:rPr>
          <w:lang w:val="en-AU"/>
        </w:rPr>
        <w:t>students</w:t>
      </w:r>
    </w:p>
    <w:p w14:paraId="7D5FAB03" w14:textId="097E3D75" w:rsidR="00F01253" w:rsidRPr="00F627E3" w:rsidRDefault="00C411F8" w:rsidP="00F01253">
      <w:pPr>
        <w:pStyle w:val="VCAAbody"/>
      </w:pPr>
      <w:r w:rsidRPr="00C411F8">
        <w:rPr>
          <w:lang w:val="en-AU"/>
        </w:rPr>
        <w:t>Know yourself – self-development</w:t>
      </w:r>
      <w:r w:rsidR="00F01253" w:rsidRPr="008C0A84">
        <w:rPr>
          <w:lang w:val="en-AU"/>
        </w:rPr>
        <w:t xml:space="preserve">: </w:t>
      </w:r>
    </w:p>
    <w:p w14:paraId="05B87CF5" w14:textId="35577ACA" w:rsidR="00DB533D" w:rsidRPr="00F627E3" w:rsidRDefault="006D7966" w:rsidP="002F04B9">
      <w:pPr>
        <w:pStyle w:val="VCAAbullet"/>
      </w:pPr>
      <w:r w:rsidRPr="00137103">
        <w:t xml:space="preserve">Identifying that there are different stakeholders and values in a workplace dispute </w:t>
      </w:r>
      <w:r w:rsidR="00D453F4">
        <w:t>fosters a capacity for</w:t>
      </w:r>
      <w:r w:rsidRPr="00137103">
        <w:t xml:space="preserve"> students to </w:t>
      </w:r>
      <w:r w:rsidRPr="00F627E3">
        <w:t>work with others</w:t>
      </w:r>
      <w:r w:rsidRPr="00137103">
        <w:t>, as well as reflect on how an individual</w:t>
      </w:r>
      <w:r w:rsidR="00B466B0" w:rsidRPr="00B466B0">
        <w:rPr>
          <w:noProof/>
        </w:rPr>
        <w:t xml:space="preserve"> </w:t>
      </w:r>
      <w:r w:rsidR="00B466B0">
        <w:rPr>
          <w:noProof/>
        </w:rPr>
        <w:t>can reconcile differing values for pragmatic reasons</w:t>
      </w:r>
      <w:r w:rsidRPr="00137103">
        <w:t xml:space="preserve">. </w:t>
      </w:r>
    </w:p>
    <w:p w14:paraId="66FA02DD" w14:textId="780E581E" w:rsidR="00F01253" w:rsidRPr="008972DC" w:rsidRDefault="00C411F8" w:rsidP="00F627E3">
      <w:pPr>
        <w:pStyle w:val="VCAAbody"/>
        <w:rPr>
          <w:lang w:val="en-AU"/>
        </w:rPr>
      </w:pPr>
      <w:r w:rsidRPr="008972DC">
        <w:rPr>
          <w:lang w:val="en-AU"/>
        </w:rPr>
        <w:t>Know your world – career exploration</w:t>
      </w:r>
      <w:r w:rsidR="00F01253" w:rsidRPr="008972DC">
        <w:rPr>
          <w:lang w:val="en-AU"/>
        </w:rPr>
        <w:t xml:space="preserve">: </w:t>
      </w:r>
    </w:p>
    <w:p w14:paraId="235EE798" w14:textId="37722820" w:rsidR="00DB533D" w:rsidRPr="00F627E3" w:rsidRDefault="006D7966" w:rsidP="002F04B9">
      <w:pPr>
        <w:pStyle w:val="VCAAbullet"/>
      </w:pPr>
      <w:r w:rsidRPr="00137103">
        <w:t>Reflecting on the different values and beliefs involved in a specific workplace</w:t>
      </w:r>
      <w:r w:rsidR="00662CD7" w:rsidRPr="00137103">
        <w:t xml:space="preserve"> setting</w:t>
      </w:r>
      <w:r w:rsidRPr="00137103">
        <w:t xml:space="preserve"> can </w:t>
      </w:r>
      <w:r w:rsidR="00662CD7" w:rsidRPr="00137103">
        <w:t>help</w:t>
      </w:r>
      <w:r w:rsidRPr="00137103">
        <w:t xml:space="preserve"> students</w:t>
      </w:r>
      <w:r w:rsidR="00662CD7" w:rsidRPr="00137103">
        <w:t xml:space="preserve"> to </w:t>
      </w:r>
      <w:r w:rsidR="00662CD7" w:rsidRPr="00F627E3">
        <w:t>understand work roles</w:t>
      </w:r>
      <w:r w:rsidR="00662CD7" w:rsidRPr="00137103">
        <w:t xml:space="preserve">, including how different perspectives can coexist within a functional workplace.  </w:t>
      </w:r>
    </w:p>
    <w:p w14:paraId="317A11F7" w14:textId="776361CF" w:rsidR="002F04B9" w:rsidRPr="00C411F8" w:rsidRDefault="002F04B9" w:rsidP="002F04B9">
      <w:pPr>
        <w:pStyle w:val="VCAAbullet"/>
        <w:rPr>
          <w:lang w:val="en-AU"/>
        </w:rPr>
      </w:pPr>
      <w:r w:rsidRPr="00C411F8">
        <w:t>Exploring issues such as underpayment of young workers helps students to identify their rights, and to know where to find information in times when they need support.</w:t>
      </w:r>
    </w:p>
    <w:p w14:paraId="5E11C16D" w14:textId="595774B4" w:rsidR="00F01253" w:rsidRPr="008972DC" w:rsidRDefault="00C411F8" w:rsidP="00F627E3">
      <w:pPr>
        <w:pStyle w:val="VCAAbody"/>
        <w:rPr>
          <w:lang w:val="en-AU"/>
        </w:rPr>
      </w:pPr>
      <w:r w:rsidRPr="008972DC">
        <w:rPr>
          <w:lang w:val="en-AU"/>
        </w:rPr>
        <w:t>Manage your future – be proactive</w:t>
      </w:r>
      <w:r w:rsidR="00F01253" w:rsidRPr="008972DC">
        <w:rPr>
          <w:lang w:val="en-AU"/>
        </w:rPr>
        <w:t xml:space="preserve">: </w:t>
      </w:r>
    </w:p>
    <w:p w14:paraId="5DD6FFBA" w14:textId="0B24F656" w:rsidR="00F01253" w:rsidRPr="00F627E3" w:rsidRDefault="00662CD7" w:rsidP="002F04B9">
      <w:pPr>
        <w:pStyle w:val="VCAAbullet"/>
      </w:pPr>
      <w:r w:rsidRPr="00137103">
        <w:t xml:space="preserve">This activity allows students to gain insight into how </w:t>
      </w:r>
      <w:r w:rsidRPr="00F627E3">
        <w:t>workplaces may be changing</w:t>
      </w:r>
      <w:r w:rsidRPr="00137103">
        <w:t xml:space="preserve"> in response to issues or societal trends.</w:t>
      </w:r>
      <w:r w:rsidR="00C411F8" w:rsidRPr="00137103">
        <w:t xml:space="preserve"> This knowledge equips students with the ability to plan and build their careers.</w:t>
      </w:r>
    </w:p>
    <w:p w14:paraId="5ECE84BA" w14:textId="3013C8D2" w:rsidR="00662CD7" w:rsidRPr="00F627E3" w:rsidRDefault="00662CD7" w:rsidP="002F04B9">
      <w:pPr>
        <w:pStyle w:val="VCAAbullet"/>
      </w:pPr>
      <w:r w:rsidRPr="00137103">
        <w:t>Focussing on different stakeholders in a workplace issue assists in appreciating the different kinds of work that people do, allowing them to make better decisions about their own caree</w:t>
      </w:r>
      <w:r w:rsidR="00507472">
        <w:t>rs</w:t>
      </w:r>
      <w:r w:rsidRPr="00137103">
        <w:t xml:space="preserve">. </w:t>
      </w:r>
    </w:p>
    <w:p w14:paraId="456ADD4D" w14:textId="5E56A26F" w:rsidR="002F04B9" w:rsidRPr="00F627E3" w:rsidRDefault="002F04B9" w:rsidP="002F04B9">
      <w:pPr>
        <w:pStyle w:val="VCAAbullet"/>
      </w:pPr>
      <w:r w:rsidRPr="00C411F8">
        <w:t>Understanding potential risk factors in seeking employment as a young person, such as the potential for underpayment, can help students identify workplaces more likely to treat them fairly, or assist them in developing strategies for addressing workplace issues.</w:t>
      </w:r>
    </w:p>
    <w:sectPr w:rsidR="002F04B9" w:rsidRPr="00F627E3" w:rsidSect="00B230DB">
      <w:headerReference w:type="default" r:id="rId14"/>
      <w:footerReference w:type="default" r:id="rId15"/>
      <w:headerReference w:type="first" r:id="rId16"/>
      <w:footerReference w:type="first" r:id="rId17"/>
      <w:type w:val="continuous"/>
      <w:pgSz w:w="11907" w:h="16840" w:code="9"/>
      <w:pgMar w:top="1418" w:right="1134" w:bottom="567" w:left="1134" w:header="283" w:footer="283"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9C26F" w16cex:dateUtc="2020-09-14T00:20:00Z"/>
  <w16cex:commentExtensible w16cex:durableId="2309C2D1" w16cex:dateUtc="2020-09-14T00:22:00Z"/>
  <w16cex:commentExtensible w16cex:durableId="2309C2EC" w16cex:dateUtc="2020-09-14T00: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6A55B9" w16cid:durableId="2309C26F"/>
  <w16cid:commentId w16cid:paraId="53C785A1" w16cid:durableId="2309C2D1"/>
  <w16cid:commentId w16cid:paraId="1E744237" w16cid:durableId="2309C2EC"/>
  <w16cid:commentId w16cid:paraId="189956D0" w16cid:durableId="231703A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C411F8" w:rsidRDefault="00C411F8" w:rsidP="00304EA1">
      <w:pPr>
        <w:spacing w:after="0" w:line="240" w:lineRule="auto"/>
      </w:pPr>
      <w:r>
        <w:separator/>
      </w:r>
    </w:p>
  </w:endnote>
  <w:endnote w:type="continuationSeparator" w:id="0">
    <w:p w14:paraId="3270DF94" w14:textId="77777777" w:rsidR="00C411F8" w:rsidRDefault="00C411F8"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C411F8" w:rsidRPr="00D06414" w14:paraId="6474FD3B" w14:textId="77777777" w:rsidTr="00BB3BAB">
      <w:trPr>
        <w:trHeight w:val="476"/>
      </w:trPr>
      <w:tc>
        <w:tcPr>
          <w:tcW w:w="1667" w:type="pct"/>
          <w:tcMar>
            <w:left w:w="0" w:type="dxa"/>
            <w:right w:w="0" w:type="dxa"/>
          </w:tcMar>
        </w:tcPr>
        <w:p w14:paraId="0EC15F2D" w14:textId="77777777" w:rsidR="00C411F8" w:rsidRPr="00D06414" w:rsidRDefault="00C411F8"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C411F8" w:rsidRPr="00D06414" w:rsidRDefault="00C411F8"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41FE3C4C" w:rsidR="00C411F8" w:rsidRPr="00D06414" w:rsidRDefault="00C411F8"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B82021">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C411F8" w:rsidRPr="00D06414" w:rsidRDefault="00C411F8"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C411F8" w:rsidRPr="00D06414" w14:paraId="36A4ADC1" w14:textId="77777777" w:rsidTr="000F5AAF">
      <w:tc>
        <w:tcPr>
          <w:tcW w:w="1459" w:type="pct"/>
          <w:tcMar>
            <w:left w:w="0" w:type="dxa"/>
            <w:right w:w="0" w:type="dxa"/>
          </w:tcMar>
        </w:tcPr>
        <w:p w14:paraId="74DB1FC2" w14:textId="77777777" w:rsidR="00C411F8" w:rsidRPr="00D06414" w:rsidRDefault="00C411F8"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C411F8" w:rsidRPr="00D06414" w:rsidRDefault="00C411F8"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C411F8" w:rsidRPr="00D06414" w:rsidRDefault="00C411F8"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C411F8" w:rsidRPr="00D06414" w:rsidRDefault="00C411F8"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C411F8" w:rsidRDefault="00C411F8" w:rsidP="00304EA1">
      <w:pPr>
        <w:spacing w:after="0" w:line="240" w:lineRule="auto"/>
      </w:pPr>
      <w:r>
        <w:separator/>
      </w:r>
    </w:p>
  </w:footnote>
  <w:footnote w:type="continuationSeparator" w:id="0">
    <w:p w14:paraId="13540A36" w14:textId="77777777" w:rsidR="00C411F8" w:rsidRDefault="00C411F8"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10C3725C" w:rsidR="00C411F8" w:rsidRDefault="00C411F8" w:rsidP="0038622E">
    <w:pPr>
      <w:pStyle w:val="VCAAbody"/>
    </w:pPr>
    <w:r>
      <w:t xml:space="preserve">Embedding </w:t>
    </w:r>
    <w:r w:rsidR="00137103">
      <w:t>career education</w:t>
    </w:r>
    <w:r>
      <w:t xml:space="preserve"> in the Victorian Curriculum F–10 – Personal </w:t>
    </w:r>
    <w:r w:rsidR="00507472">
      <w:t xml:space="preserve">and </w:t>
    </w:r>
    <w:r>
      <w:t>Social Capability, Levels 9 and 10</w:t>
    </w:r>
  </w:p>
  <w:p w14:paraId="0F4EB06A" w14:textId="77777777" w:rsidR="00C411F8" w:rsidRPr="0038622E" w:rsidRDefault="00C411F8" w:rsidP="0038622E">
    <w:pPr>
      <w:pStyle w:val="VCAAbody"/>
      <w:rPr>
        <w:color w:val="0F7EB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C411F8" w:rsidRPr="009370BC" w:rsidRDefault="00C411F8"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662E4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F258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A240E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4E07D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80DE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72ED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EB24E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F4E5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E0CE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C981F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521553"/>
    <w:multiLevelType w:val="hybridMultilevel"/>
    <w:tmpl w:val="9842B3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327A6F"/>
    <w:multiLevelType w:val="hybridMultilevel"/>
    <w:tmpl w:val="CD0E1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654446"/>
    <w:multiLevelType w:val="hybridMultilevel"/>
    <w:tmpl w:val="FB3485D6"/>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413BE2"/>
    <w:multiLevelType w:val="hybridMultilevel"/>
    <w:tmpl w:val="C8AC1F54"/>
    <w:lvl w:ilvl="0" w:tplc="CF488D56">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587FE8"/>
    <w:multiLevelType w:val="hybridMultilevel"/>
    <w:tmpl w:val="69D8DC44"/>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7" w15:restartNumberingAfterBreak="0">
    <w:nsid w:val="434B63B5"/>
    <w:multiLevelType w:val="hybridMultilevel"/>
    <w:tmpl w:val="B1408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00469EB"/>
    <w:multiLevelType w:val="hybridMultilevel"/>
    <w:tmpl w:val="2F0C33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15:restartNumberingAfterBreak="0">
    <w:nsid w:val="5A37406A"/>
    <w:multiLevelType w:val="hybridMultilevel"/>
    <w:tmpl w:val="BC42E3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D9A2C29"/>
    <w:multiLevelType w:val="hybridMultilevel"/>
    <w:tmpl w:val="DD9AFD2A"/>
    <w:lvl w:ilvl="0" w:tplc="BA6C7854">
      <w:start w:val="4"/>
      <w:numFmt w:val="bullet"/>
      <w:lvlText w:val="-"/>
      <w:lvlJc w:val="left"/>
      <w:pPr>
        <w:ind w:left="720" w:hanging="360"/>
      </w:pPr>
      <w:rPr>
        <w:rFonts w:ascii="Arial Narrow" w:eastAsiaTheme="minorHAnsi" w:hAnsi="Arial Narrow"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3" w15:restartNumberingAfterBreak="0">
    <w:nsid w:val="61926663"/>
    <w:multiLevelType w:val="hybridMultilevel"/>
    <w:tmpl w:val="3E7A4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2872B6C"/>
    <w:multiLevelType w:val="hybridMultilevel"/>
    <w:tmpl w:val="0B728936"/>
    <w:lvl w:ilvl="0" w:tplc="7F9ABDAC">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5" w15:restartNumberingAfterBreak="0">
    <w:nsid w:val="6D146F01"/>
    <w:multiLevelType w:val="hybridMultilevel"/>
    <w:tmpl w:val="87E4A6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16"/>
  </w:num>
  <w:num w:numId="4">
    <w:abstractNumId w:val="12"/>
  </w:num>
  <w:num w:numId="5">
    <w:abstractNumId w:val="22"/>
  </w:num>
  <w:num w:numId="6">
    <w:abstractNumId w:val="15"/>
  </w:num>
  <w:num w:numId="7">
    <w:abstractNumId w:val="13"/>
  </w:num>
  <w:num w:numId="8">
    <w:abstractNumId w:val="2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8"/>
  </w:num>
  <w:num w:numId="20">
    <w:abstractNumId w:val="14"/>
  </w:num>
  <w:num w:numId="21">
    <w:abstractNumId w:val="20"/>
  </w:num>
  <w:num w:numId="22">
    <w:abstractNumId w:val="11"/>
  </w:num>
  <w:num w:numId="23">
    <w:abstractNumId w:val="17"/>
  </w:num>
  <w:num w:numId="24">
    <w:abstractNumId w:val="10"/>
  </w:num>
  <w:num w:numId="25">
    <w:abstractNumId w:val="23"/>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321" w:allStyles="1" w:customStyles="0" w:latentStyles="0" w:stylesInUse="0" w:headingStyles="1" w:numberingStyles="0" w:tableStyles="0" w:directFormattingOnRuns="1" w:directFormattingOnParagraphs="1"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076B1"/>
    <w:rsid w:val="000200EC"/>
    <w:rsid w:val="00033048"/>
    <w:rsid w:val="0005780E"/>
    <w:rsid w:val="00065CC6"/>
    <w:rsid w:val="00072AF1"/>
    <w:rsid w:val="00086CFC"/>
    <w:rsid w:val="00097F58"/>
    <w:rsid w:val="000A71F7"/>
    <w:rsid w:val="000B152F"/>
    <w:rsid w:val="000E52CF"/>
    <w:rsid w:val="000F09E4"/>
    <w:rsid w:val="000F16FD"/>
    <w:rsid w:val="000F5AAF"/>
    <w:rsid w:val="000F7AF9"/>
    <w:rsid w:val="0012374D"/>
    <w:rsid w:val="00137103"/>
    <w:rsid w:val="00143520"/>
    <w:rsid w:val="00153AD2"/>
    <w:rsid w:val="001779EA"/>
    <w:rsid w:val="001926FE"/>
    <w:rsid w:val="001A39A9"/>
    <w:rsid w:val="001D3246"/>
    <w:rsid w:val="001E2147"/>
    <w:rsid w:val="001E2722"/>
    <w:rsid w:val="001F5D88"/>
    <w:rsid w:val="002279BA"/>
    <w:rsid w:val="002329F3"/>
    <w:rsid w:val="00243F0D"/>
    <w:rsid w:val="0025159B"/>
    <w:rsid w:val="00254888"/>
    <w:rsid w:val="00255852"/>
    <w:rsid w:val="00260767"/>
    <w:rsid w:val="002647BB"/>
    <w:rsid w:val="002754C1"/>
    <w:rsid w:val="002841C8"/>
    <w:rsid w:val="0028516B"/>
    <w:rsid w:val="0029664A"/>
    <w:rsid w:val="00297CD4"/>
    <w:rsid w:val="002B103A"/>
    <w:rsid w:val="002C6F90"/>
    <w:rsid w:val="002D2304"/>
    <w:rsid w:val="002E4FB5"/>
    <w:rsid w:val="002E762B"/>
    <w:rsid w:val="002F04B9"/>
    <w:rsid w:val="00302FB8"/>
    <w:rsid w:val="00304EA1"/>
    <w:rsid w:val="00307944"/>
    <w:rsid w:val="00314D81"/>
    <w:rsid w:val="00322FC6"/>
    <w:rsid w:val="0034529C"/>
    <w:rsid w:val="0035293F"/>
    <w:rsid w:val="0038622E"/>
    <w:rsid w:val="00391986"/>
    <w:rsid w:val="00392864"/>
    <w:rsid w:val="003A00B4"/>
    <w:rsid w:val="003C394F"/>
    <w:rsid w:val="003C5E71"/>
    <w:rsid w:val="00411D26"/>
    <w:rsid w:val="00417AA3"/>
    <w:rsid w:val="00421DB1"/>
    <w:rsid w:val="00425DFE"/>
    <w:rsid w:val="00425FD1"/>
    <w:rsid w:val="00434EDB"/>
    <w:rsid w:val="00440B32"/>
    <w:rsid w:val="00443DF7"/>
    <w:rsid w:val="00457521"/>
    <w:rsid w:val="0046078D"/>
    <w:rsid w:val="0048438A"/>
    <w:rsid w:val="00495592"/>
    <w:rsid w:val="00495C80"/>
    <w:rsid w:val="004A131C"/>
    <w:rsid w:val="004A2ED8"/>
    <w:rsid w:val="004D70CD"/>
    <w:rsid w:val="004F5BDA"/>
    <w:rsid w:val="004F6DE0"/>
    <w:rsid w:val="00507472"/>
    <w:rsid w:val="0051631E"/>
    <w:rsid w:val="00537A1F"/>
    <w:rsid w:val="005427B2"/>
    <w:rsid w:val="00563E1D"/>
    <w:rsid w:val="00566029"/>
    <w:rsid w:val="00567FD3"/>
    <w:rsid w:val="005923CB"/>
    <w:rsid w:val="005B391B"/>
    <w:rsid w:val="005D3D78"/>
    <w:rsid w:val="005D7236"/>
    <w:rsid w:val="005E0041"/>
    <w:rsid w:val="005E2EF0"/>
    <w:rsid w:val="005F4092"/>
    <w:rsid w:val="00610518"/>
    <w:rsid w:val="00652C4B"/>
    <w:rsid w:val="00662CD7"/>
    <w:rsid w:val="0068471E"/>
    <w:rsid w:val="00684F98"/>
    <w:rsid w:val="00693FFD"/>
    <w:rsid w:val="006A03D3"/>
    <w:rsid w:val="006D2159"/>
    <w:rsid w:val="006D7966"/>
    <w:rsid w:val="006E4402"/>
    <w:rsid w:val="006F58F8"/>
    <w:rsid w:val="006F787C"/>
    <w:rsid w:val="00702636"/>
    <w:rsid w:val="00724507"/>
    <w:rsid w:val="007369F4"/>
    <w:rsid w:val="007623B9"/>
    <w:rsid w:val="00773E6C"/>
    <w:rsid w:val="00781FB1"/>
    <w:rsid w:val="007A0E4B"/>
    <w:rsid w:val="007D1B6D"/>
    <w:rsid w:val="007D5BC3"/>
    <w:rsid w:val="007D6335"/>
    <w:rsid w:val="007E7D1F"/>
    <w:rsid w:val="00813C37"/>
    <w:rsid w:val="008154B5"/>
    <w:rsid w:val="00823962"/>
    <w:rsid w:val="0085130D"/>
    <w:rsid w:val="00852719"/>
    <w:rsid w:val="00860115"/>
    <w:rsid w:val="00862F22"/>
    <w:rsid w:val="00866BE6"/>
    <w:rsid w:val="0088783C"/>
    <w:rsid w:val="008972DC"/>
    <w:rsid w:val="008B1278"/>
    <w:rsid w:val="008C0A84"/>
    <w:rsid w:val="008D0ABF"/>
    <w:rsid w:val="008D57CA"/>
    <w:rsid w:val="009010E9"/>
    <w:rsid w:val="00905484"/>
    <w:rsid w:val="009370BC"/>
    <w:rsid w:val="00970580"/>
    <w:rsid w:val="0098739B"/>
    <w:rsid w:val="009B61E5"/>
    <w:rsid w:val="009D1E89"/>
    <w:rsid w:val="009E0E29"/>
    <w:rsid w:val="009E5707"/>
    <w:rsid w:val="00A13223"/>
    <w:rsid w:val="00A17661"/>
    <w:rsid w:val="00A202C1"/>
    <w:rsid w:val="00A24B2D"/>
    <w:rsid w:val="00A27DCD"/>
    <w:rsid w:val="00A40966"/>
    <w:rsid w:val="00A50E81"/>
    <w:rsid w:val="00A61CB7"/>
    <w:rsid w:val="00A64523"/>
    <w:rsid w:val="00A921E0"/>
    <w:rsid w:val="00A922F4"/>
    <w:rsid w:val="00AC056A"/>
    <w:rsid w:val="00AD2425"/>
    <w:rsid w:val="00AD59D5"/>
    <w:rsid w:val="00AE5526"/>
    <w:rsid w:val="00AF051B"/>
    <w:rsid w:val="00B01578"/>
    <w:rsid w:val="00B0738F"/>
    <w:rsid w:val="00B13544"/>
    <w:rsid w:val="00B13D3B"/>
    <w:rsid w:val="00B230DB"/>
    <w:rsid w:val="00B26601"/>
    <w:rsid w:val="00B309DA"/>
    <w:rsid w:val="00B30E01"/>
    <w:rsid w:val="00B41951"/>
    <w:rsid w:val="00B466B0"/>
    <w:rsid w:val="00B51FA6"/>
    <w:rsid w:val="00B53229"/>
    <w:rsid w:val="00B62480"/>
    <w:rsid w:val="00B74D78"/>
    <w:rsid w:val="00B81B70"/>
    <w:rsid w:val="00B82021"/>
    <w:rsid w:val="00BB3BAB"/>
    <w:rsid w:val="00BC5E7C"/>
    <w:rsid w:val="00BD0724"/>
    <w:rsid w:val="00BD2B91"/>
    <w:rsid w:val="00BE4EC5"/>
    <w:rsid w:val="00BE5521"/>
    <w:rsid w:val="00BF6C23"/>
    <w:rsid w:val="00C11C98"/>
    <w:rsid w:val="00C2005D"/>
    <w:rsid w:val="00C411F8"/>
    <w:rsid w:val="00C513B1"/>
    <w:rsid w:val="00C53263"/>
    <w:rsid w:val="00C63E02"/>
    <w:rsid w:val="00C6415E"/>
    <w:rsid w:val="00C75F1D"/>
    <w:rsid w:val="00C827DB"/>
    <w:rsid w:val="00C86568"/>
    <w:rsid w:val="00C95156"/>
    <w:rsid w:val="00CA0DC2"/>
    <w:rsid w:val="00CB68E8"/>
    <w:rsid w:val="00D04F01"/>
    <w:rsid w:val="00D06414"/>
    <w:rsid w:val="00D07412"/>
    <w:rsid w:val="00D24E5A"/>
    <w:rsid w:val="00D338E4"/>
    <w:rsid w:val="00D35D07"/>
    <w:rsid w:val="00D36FA7"/>
    <w:rsid w:val="00D4304F"/>
    <w:rsid w:val="00D453F4"/>
    <w:rsid w:val="00D50AF6"/>
    <w:rsid w:val="00D51947"/>
    <w:rsid w:val="00D532F0"/>
    <w:rsid w:val="00D77413"/>
    <w:rsid w:val="00D82759"/>
    <w:rsid w:val="00D86DE4"/>
    <w:rsid w:val="00DB533D"/>
    <w:rsid w:val="00DE1909"/>
    <w:rsid w:val="00DE51DB"/>
    <w:rsid w:val="00E23F1D"/>
    <w:rsid w:val="00E30E05"/>
    <w:rsid w:val="00E36361"/>
    <w:rsid w:val="00E55AE9"/>
    <w:rsid w:val="00E56D1D"/>
    <w:rsid w:val="00E952CE"/>
    <w:rsid w:val="00E9592C"/>
    <w:rsid w:val="00EA2830"/>
    <w:rsid w:val="00EA3DD7"/>
    <w:rsid w:val="00EB0C84"/>
    <w:rsid w:val="00EB64BB"/>
    <w:rsid w:val="00EF1E25"/>
    <w:rsid w:val="00F01253"/>
    <w:rsid w:val="00F17FDE"/>
    <w:rsid w:val="00F22B91"/>
    <w:rsid w:val="00F40D53"/>
    <w:rsid w:val="00F4525C"/>
    <w:rsid w:val="00F50D86"/>
    <w:rsid w:val="00F627E3"/>
    <w:rsid w:val="00F6610F"/>
    <w:rsid w:val="00F941CA"/>
    <w:rsid w:val="00FA4923"/>
    <w:rsid w:val="00FB23F1"/>
    <w:rsid w:val="00FB6552"/>
    <w:rsid w:val="00FD29D3"/>
    <w:rsid w:val="00FE2873"/>
    <w:rsid w:val="00FE3F0B"/>
    <w:rsid w:val="00FF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1371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4F6DE0"/>
    <w:pPr>
      <w:spacing w:before="240" w:after="120" w:line="480" w:lineRule="exact"/>
      <w:contextualSpacing/>
      <w:outlineLvl w:val="2"/>
    </w:pPr>
    <w:rPr>
      <w:rFonts w:ascii="Arial" w:hAnsi="Arial" w:cs="Arial"/>
      <w:color w:val="0F7EB4"/>
      <w:sz w:val="36"/>
      <w:szCs w:val="36"/>
    </w:rPr>
  </w:style>
  <w:style w:type="paragraph" w:customStyle="1" w:styleId="VCAAHeading3">
    <w:name w:val="VCAA Heading 3"/>
    <w:next w:val="VCAAbody"/>
    <w:qFormat/>
    <w:rsid w:val="004F6DE0"/>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137103"/>
    <w:pPr>
      <w:numPr>
        <w:numId w:val="1"/>
      </w:numPr>
      <w:tabs>
        <w:tab w:val="left" w:pos="425"/>
      </w:tabs>
      <w:spacing w:before="60" w:after="60"/>
      <w:ind w:left="425" w:hanging="425"/>
      <w:contextualSpacing/>
    </w:pPr>
    <w:rPr>
      <w:rFonts w:eastAsia="Times New Roman"/>
      <w:color w:val="auto"/>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137103"/>
    <w:pPr>
      <w:numPr>
        <w:numId w:val="4"/>
      </w:numPr>
      <w:tabs>
        <w:tab w:val="left" w:pos="425"/>
      </w:tabs>
      <w:overflowPunct w:val="0"/>
      <w:autoSpaceDE w:val="0"/>
      <w:autoSpaceDN w:val="0"/>
      <w:adjustRightInd w:val="0"/>
      <w:spacing w:before="80" w:after="80" w:line="280" w:lineRule="exact"/>
      <w:ind w:left="425" w:hanging="425"/>
      <w:contextualSpacing/>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8B1278"/>
    <w:pPr>
      <w:spacing w:before="280" w:after="120" w:line="360" w:lineRule="exact"/>
      <w:outlineLvl w:val="4"/>
    </w:pPr>
    <w:rPr>
      <w:rFonts w:ascii="Arial" w:hAnsi="Arial" w:cs="Arial"/>
      <w:color w:val="0F7EB4"/>
      <w:sz w:val="24"/>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customStyle="1" w:styleId="TableGrid1">
    <w:name w:val="Table Grid1"/>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253"/>
    <w:pPr>
      <w:spacing w:after="160" w:line="259" w:lineRule="auto"/>
      <w:ind w:left="720"/>
      <w:contextualSpacing/>
    </w:pPr>
    <w:rPr>
      <w:rFonts w:ascii="Century Gothic" w:hAnsi="Century Gothic"/>
      <w:sz w:val="20"/>
      <w:szCs w:val="20"/>
      <w:lang w:val="en-AU"/>
    </w:rPr>
  </w:style>
  <w:style w:type="table" w:customStyle="1" w:styleId="TableGrid2">
    <w:name w:val="Table Grid2"/>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dy-withlargetabandhangingindent">
    <w:name w:val="VCAA body - with large tab and hanging indent"/>
    <w:basedOn w:val="Normal"/>
    <w:qFormat/>
    <w:rsid w:val="00B51FA6"/>
    <w:pPr>
      <w:tabs>
        <w:tab w:val="left" w:pos="4082"/>
      </w:tabs>
      <w:spacing w:before="120" w:after="120" w:line="280" w:lineRule="exact"/>
      <w:ind w:left="4082" w:hanging="4082"/>
    </w:pPr>
    <w:rPr>
      <w:rFonts w:ascii="Arial" w:hAnsi="Arial" w:cs="Arial"/>
      <w:color w:val="000000" w:themeColor="text1"/>
      <w:sz w:val="20"/>
      <w:lang w:val="en-AU"/>
    </w:rPr>
  </w:style>
  <w:style w:type="character" w:styleId="CommentReference">
    <w:name w:val="annotation reference"/>
    <w:basedOn w:val="DefaultParagraphFont"/>
    <w:uiPriority w:val="99"/>
    <w:semiHidden/>
    <w:unhideWhenUsed/>
    <w:rsid w:val="001926FE"/>
    <w:rPr>
      <w:sz w:val="16"/>
      <w:szCs w:val="16"/>
    </w:rPr>
  </w:style>
  <w:style w:type="paragraph" w:styleId="CommentText">
    <w:name w:val="annotation text"/>
    <w:basedOn w:val="Normal"/>
    <w:link w:val="CommentTextChar"/>
    <w:uiPriority w:val="99"/>
    <w:unhideWhenUsed/>
    <w:rsid w:val="001926FE"/>
    <w:pPr>
      <w:spacing w:line="240" w:lineRule="auto"/>
    </w:pPr>
    <w:rPr>
      <w:sz w:val="20"/>
      <w:szCs w:val="20"/>
    </w:rPr>
  </w:style>
  <w:style w:type="character" w:customStyle="1" w:styleId="CommentTextChar">
    <w:name w:val="Comment Text Char"/>
    <w:basedOn w:val="DefaultParagraphFont"/>
    <w:link w:val="CommentText"/>
    <w:uiPriority w:val="99"/>
    <w:rsid w:val="001926FE"/>
    <w:rPr>
      <w:sz w:val="20"/>
      <w:szCs w:val="20"/>
    </w:rPr>
  </w:style>
  <w:style w:type="paragraph" w:styleId="CommentSubject">
    <w:name w:val="annotation subject"/>
    <w:basedOn w:val="CommentText"/>
    <w:next w:val="CommentText"/>
    <w:link w:val="CommentSubjectChar"/>
    <w:uiPriority w:val="99"/>
    <w:semiHidden/>
    <w:unhideWhenUsed/>
    <w:rsid w:val="001926FE"/>
    <w:rPr>
      <w:b/>
      <w:bCs/>
    </w:rPr>
  </w:style>
  <w:style w:type="character" w:customStyle="1" w:styleId="CommentSubjectChar">
    <w:name w:val="Comment Subject Char"/>
    <w:basedOn w:val="CommentTextChar"/>
    <w:link w:val="CommentSubject"/>
    <w:uiPriority w:val="99"/>
    <w:semiHidden/>
    <w:rsid w:val="001926FE"/>
    <w:rPr>
      <w:b/>
      <w:bCs/>
      <w:sz w:val="20"/>
      <w:szCs w:val="20"/>
    </w:rPr>
  </w:style>
  <w:style w:type="paragraph" w:customStyle="1" w:styleId="VCAAbodyintrotext">
    <w:name w:val="VCAA body intro text"/>
    <w:basedOn w:val="VCAAbody"/>
    <w:qFormat/>
    <w:rsid w:val="004F6DE0"/>
    <w:pPr>
      <w:spacing w:before="360" w:line="320" w:lineRule="exact"/>
    </w:pPr>
    <w:rPr>
      <w:sz w:val="24"/>
      <w:szCs w:val="24"/>
    </w:rPr>
  </w:style>
  <w:style w:type="paragraph" w:styleId="Revision">
    <w:name w:val="Revision"/>
    <w:hidden/>
    <w:uiPriority w:val="99"/>
    <w:semiHidden/>
    <w:rsid w:val="00567FD3"/>
    <w:pPr>
      <w:spacing w:after="0" w:line="240" w:lineRule="auto"/>
    </w:pPr>
  </w:style>
  <w:style w:type="character" w:customStyle="1" w:styleId="UnresolvedMention1">
    <w:name w:val="Unresolved Mention1"/>
    <w:basedOn w:val="DefaultParagraphFont"/>
    <w:uiPriority w:val="99"/>
    <w:semiHidden/>
    <w:unhideWhenUsed/>
    <w:rsid w:val="00A202C1"/>
    <w:rPr>
      <w:color w:val="605E5C"/>
      <w:shd w:val="clear" w:color="auto" w:fill="E1DFDD"/>
    </w:rPr>
  </w:style>
  <w:style w:type="character" w:styleId="FollowedHyperlink">
    <w:name w:val="FollowedHyperlink"/>
    <w:basedOn w:val="DefaultParagraphFont"/>
    <w:uiPriority w:val="99"/>
    <w:semiHidden/>
    <w:unhideWhenUsed/>
    <w:rsid w:val="00C411F8"/>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61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youngworkers.org.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airwork.gov.au/website-information/related-sites/unions-and-employer-associations" TargetMode="External"/><Relationship Id="rId17" Type="http://schemas.openxmlformats.org/officeDocument/2006/relationships/footer" Target="footer2.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ctoriancurriculum.vcaa.vic.edu.au/Curriculum/ContentDescription/VCPSCSO047" TargetMode="Externa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http://purl.org/dc/elements/1.1/"/>
    <ds:schemaRef ds:uri="http://schemas.openxmlformats.org/package/2006/metadata/core-properties"/>
    <ds:schemaRef ds:uri="http://purl.org/dc/terms/"/>
    <ds:schemaRef ds:uri="http://purl.org/dc/dcmitype/"/>
  </ds:schemaRefs>
</ds:datastoreItem>
</file>

<file path=customXml/itemProps2.xml><?xml version="1.0" encoding="utf-8"?>
<ds:datastoreItem xmlns:ds="http://schemas.openxmlformats.org/officeDocument/2006/customXml" ds:itemID="{5A50F1AC-16A3-49EF-9E36-DFBE1EA5378A}"/>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28BB8D7E-A908-4939-A76D-B264FC9D1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879</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Embedding career education in the Victorian Curriculum F–10</vt:lpstr>
    </vt:vector>
  </TitlesOfParts>
  <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Embedding career education in the Victorian Curriculum F–10</dc:title>
  <dc:creator>VCAA</dc:creator>
  <cp:keywords>career education, curriculum resources, personal and social capability</cp:keywords>
  <cp:lastModifiedBy>Witt, Kylie I</cp:lastModifiedBy>
  <cp:revision>2</cp:revision>
  <cp:lastPrinted>2020-03-04T04:43:00Z</cp:lastPrinted>
  <dcterms:created xsi:type="dcterms:W3CDTF">2020-09-30T07:14:00Z</dcterms:created>
  <dcterms:modified xsi:type="dcterms:W3CDTF">2020-09-30T07:14:00Z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