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22C97" w14:textId="77777777" w:rsidR="00711DC3" w:rsidRPr="00795E97" w:rsidRDefault="00092235">
      <w:pPr>
        <w:pStyle w:val="VCAADocumenttitle"/>
      </w:pPr>
      <w:bookmarkStart w:id="0" w:name="_Hlk70607526"/>
      <w:r w:rsidRPr="00795E97">
        <w:t>2020 VCE Greek oral examination report</w:t>
      </w:r>
      <w:bookmarkStart w:id="1" w:name="TemplateOverview"/>
      <w:bookmarkEnd w:id="1"/>
    </w:p>
    <w:p w14:paraId="29D57978" w14:textId="77777777" w:rsidR="00711DC3" w:rsidRPr="00795E97" w:rsidRDefault="00092235">
      <w:pPr>
        <w:pStyle w:val="VCAAHeading1"/>
        <w:rPr>
          <w:lang w:val="en-AU"/>
        </w:rPr>
      </w:pPr>
      <w:r w:rsidRPr="00795E97">
        <w:rPr>
          <w:lang w:val="en-AU"/>
        </w:rPr>
        <w:t>General comments</w:t>
      </w:r>
    </w:p>
    <w:p w14:paraId="7DA1C5EF" w14:textId="305AC29C" w:rsidR="00711DC3" w:rsidRPr="00795E97" w:rsidRDefault="00092235">
      <w:pPr>
        <w:pStyle w:val="VCAAbody"/>
        <w:rPr>
          <w:lang w:val="en-AU"/>
        </w:rPr>
      </w:pPr>
      <w:r w:rsidRPr="00795E97">
        <w:rPr>
          <w:lang w:val="en-AU"/>
        </w:rPr>
        <w:t xml:space="preserve">2020 was the first year this study was delivered according to </w:t>
      </w:r>
      <w:r w:rsidR="007C2FC7" w:rsidRPr="00795E97">
        <w:rPr>
          <w:lang w:val="en-AU"/>
        </w:rPr>
        <w:t>the newly accredited</w:t>
      </w:r>
      <w:r w:rsidRPr="00795E97">
        <w:rPr>
          <w:lang w:val="en-AU"/>
        </w:rPr>
        <w:t xml:space="preserve"> </w:t>
      </w:r>
      <w:r w:rsidR="00C1247C" w:rsidRPr="00795E97">
        <w:rPr>
          <w:i/>
          <w:iCs/>
          <w:lang w:val="en-AU"/>
        </w:rPr>
        <w:t xml:space="preserve">VCE </w:t>
      </w:r>
      <w:r w:rsidR="007C2FC7" w:rsidRPr="00795E97">
        <w:rPr>
          <w:i/>
          <w:iCs/>
          <w:lang w:val="en-AU"/>
        </w:rPr>
        <w:t>Greek S</w:t>
      </w:r>
      <w:r w:rsidRPr="00795E97">
        <w:rPr>
          <w:i/>
          <w:iCs/>
          <w:lang w:val="en-AU"/>
        </w:rPr>
        <w:t xml:space="preserve">tudy </w:t>
      </w:r>
      <w:r w:rsidR="007C2FC7" w:rsidRPr="00795E97">
        <w:rPr>
          <w:i/>
          <w:iCs/>
          <w:lang w:val="en-AU"/>
        </w:rPr>
        <w:t>D</w:t>
      </w:r>
      <w:r w:rsidRPr="00795E97">
        <w:rPr>
          <w:i/>
          <w:iCs/>
          <w:lang w:val="en-AU"/>
        </w:rPr>
        <w:t>esign</w:t>
      </w:r>
      <w:r w:rsidR="007C2FC7" w:rsidRPr="00795E97">
        <w:rPr>
          <w:i/>
          <w:iCs/>
          <w:lang w:val="en-AU"/>
        </w:rPr>
        <w:t xml:space="preserve"> 2020</w:t>
      </w:r>
      <w:r w:rsidR="00D61C56" w:rsidRPr="00795E97">
        <w:rPr>
          <w:i/>
          <w:iCs/>
          <w:lang w:val="en-AU"/>
        </w:rPr>
        <w:t>–</w:t>
      </w:r>
      <w:r w:rsidR="007C2FC7" w:rsidRPr="00795E97">
        <w:rPr>
          <w:i/>
          <w:iCs/>
          <w:lang w:val="en-AU"/>
        </w:rPr>
        <w:t>2024</w:t>
      </w:r>
      <w:r w:rsidRPr="00795E97">
        <w:rPr>
          <w:lang w:val="en-AU"/>
        </w:rPr>
        <w:t xml:space="preserve"> and examination specifications. It is important that students and teachers familiarise themselves with the </w:t>
      </w:r>
      <w:hyperlink r:id="rId11" w:history="1">
        <w:r w:rsidRPr="00795E97">
          <w:rPr>
            <w:rStyle w:val="Hyperlink"/>
            <w:lang w:val="en-AU"/>
          </w:rPr>
          <w:t>specifications for oral examinations</w:t>
        </w:r>
      </w:hyperlink>
      <w:r w:rsidRPr="00795E97">
        <w:rPr>
          <w:lang w:val="en-AU"/>
        </w:rPr>
        <w:t>, available on the VCE Greek</w:t>
      </w:r>
      <w:r w:rsidR="00DB64BE" w:rsidRPr="00795E97">
        <w:rPr>
          <w:rStyle w:val="VCAAitalics"/>
          <w:i w:val="0"/>
          <w:iCs w:val="0"/>
          <w:lang w:val="en-AU"/>
        </w:rPr>
        <w:t xml:space="preserve"> examinations web</w:t>
      </w:r>
      <w:r w:rsidRPr="00795E97">
        <w:rPr>
          <w:rStyle w:val="VCAAitalics"/>
          <w:i w:val="0"/>
          <w:iCs w:val="0"/>
          <w:lang w:val="en-AU"/>
        </w:rPr>
        <w:t xml:space="preserve">page of the </w:t>
      </w:r>
      <w:r w:rsidRPr="00795E97">
        <w:rPr>
          <w:lang w:val="en-AU"/>
        </w:rPr>
        <w:t>VCAA website</w:t>
      </w:r>
      <w:r w:rsidRPr="00795E97">
        <w:rPr>
          <w:rStyle w:val="VCAAitalics"/>
          <w:lang w:val="en-AU"/>
        </w:rPr>
        <w:t>.</w:t>
      </w:r>
      <w:r w:rsidRPr="00795E97">
        <w:rPr>
          <w:rStyle w:val="VCAAitalics"/>
          <w:i w:val="0"/>
          <w:iCs w:val="0"/>
          <w:lang w:val="en-AU"/>
        </w:rPr>
        <w:t xml:space="preserve"> Students and teachers are also reminded that a </w:t>
      </w:r>
      <w:hyperlink r:id="rId12" w:history="1">
        <w:r w:rsidRPr="00795E97">
          <w:rPr>
            <w:rStyle w:val="Hyperlink"/>
            <w:lang w:val="en-AU"/>
          </w:rPr>
          <w:t>series of videos</w:t>
        </w:r>
      </w:hyperlink>
      <w:r w:rsidRPr="00795E97">
        <w:rPr>
          <w:rStyle w:val="VCAAitalics"/>
          <w:i w:val="0"/>
          <w:iCs w:val="0"/>
          <w:lang w:val="en-AU"/>
        </w:rPr>
        <w:t xml:space="preserve"> has been produced to help with preparation for the oral examination</w:t>
      </w:r>
      <w:r w:rsidR="00DB64BE" w:rsidRPr="00795E97">
        <w:rPr>
          <w:rStyle w:val="VCAAitalics"/>
          <w:i w:val="0"/>
          <w:iCs w:val="0"/>
          <w:lang w:val="en-AU"/>
        </w:rPr>
        <w:t>s; these are also available on the VCE Greek examinations webpage of the VCAA website</w:t>
      </w:r>
      <w:r w:rsidRPr="00795E97">
        <w:rPr>
          <w:rStyle w:val="VCAAitalics"/>
          <w:i w:val="0"/>
          <w:iCs w:val="0"/>
          <w:lang w:val="en-AU"/>
        </w:rPr>
        <w:t>.</w:t>
      </w:r>
    </w:p>
    <w:p w14:paraId="42335DC1" w14:textId="77777777" w:rsidR="00711DC3" w:rsidRPr="00795E97" w:rsidRDefault="00092235">
      <w:pPr>
        <w:pStyle w:val="VCAAbody"/>
        <w:rPr>
          <w:lang w:val="en-AU"/>
        </w:rPr>
      </w:pPr>
      <w:r w:rsidRPr="00795E97">
        <w:rPr>
          <w:lang w:val="en-AU"/>
        </w:rPr>
        <w:t xml:space="preserve">Overall, students demonstrated a sound level of understanding and an ability to respond to and communicate with assessors effectively and confidently. Many controlled simple grammatical structures well; however, some students made some grammatical and syntactical errors in both sections of the examination. </w:t>
      </w:r>
    </w:p>
    <w:p w14:paraId="47A09FBC" w14:textId="77777777" w:rsidR="00711DC3" w:rsidRPr="00795E97" w:rsidRDefault="00092235">
      <w:pPr>
        <w:pStyle w:val="VCAAbody"/>
        <w:rPr>
          <w:lang w:val="en-AU"/>
        </w:rPr>
      </w:pPr>
      <w:r w:rsidRPr="00795E97">
        <w:rPr>
          <w:lang w:val="en-AU"/>
        </w:rPr>
        <w:t xml:space="preserve">Students should be familiar with the vocabulary used in daily situations and the vocabulary needed for their chosen subtopic. Common grammatical errors included: </w:t>
      </w:r>
    </w:p>
    <w:p w14:paraId="781CDB57" w14:textId="77777777" w:rsidR="00711DC3" w:rsidRPr="00795E97" w:rsidRDefault="00092235">
      <w:pPr>
        <w:pStyle w:val="VCAAbullet"/>
        <w:numPr>
          <w:ilvl w:val="0"/>
          <w:numId w:val="1"/>
        </w:numPr>
        <w:ind w:left="425" w:hanging="425"/>
        <w:rPr>
          <w:lang w:val="en-AU"/>
        </w:rPr>
      </w:pPr>
      <w:r w:rsidRPr="00795E97">
        <w:rPr>
          <w:lang w:val="en-AU"/>
        </w:rPr>
        <w:t>errors with common verbs (</w:t>
      </w:r>
      <w:proofErr w:type="spellStart"/>
      <w:r w:rsidRPr="00795E97">
        <w:rPr>
          <w:rStyle w:val="VCAAitalics"/>
          <w:lang w:val="en-AU"/>
        </w:rPr>
        <w:t>χρειάζω</w:t>
      </w:r>
      <w:proofErr w:type="spellEnd"/>
      <w:r w:rsidRPr="00795E97">
        <w:rPr>
          <w:rStyle w:val="VCAAitalics"/>
          <w:lang w:val="en-AU"/>
        </w:rPr>
        <w:t xml:space="preserve"> </w:t>
      </w:r>
      <w:proofErr w:type="spellStart"/>
      <w:r w:rsidRPr="00795E97">
        <w:rPr>
          <w:rStyle w:val="VCAAitalics"/>
          <w:lang w:val="en-AU"/>
        </w:rPr>
        <w:t>κάτι</w:t>
      </w:r>
      <w:proofErr w:type="spellEnd"/>
      <w:r w:rsidRPr="00795E97">
        <w:rPr>
          <w:rStyle w:val="VCAAitalics"/>
          <w:lang w:val="en-AU"/>
        </w:rPr>
        <w:t xml:space="preserve">, </w:t>
      </w:r>
      <w:proofErr w:type="spellStart"/>
      <w:r w:rsidRPr="00795E97">
        <w:rPr>
          <w:rStyle w:val="VCAAitalics"/>
          <w:lang w:val="en-AU"/>
        </w:rPr>
        <w:t>μου</w:t>
      </w:r>
      <w:proofErr w:type="spellEnd"/>
      <w:r w:rsidRPr="00795E97">
        <w:rPr>
          <w:rStyle w:val="VCAAitalics"/>
          <w:lang w:val="en-AU"/>
        </w:rPr>
        <w:t xml:space="preserve"> α</w:t>
      </w:r>
      <w:proofErr w:type="spellStart"/>
      <w:r w:rsidRPr="00795E97">
        <w:rPr>
          <w:rStyle w:val="VCAAitalics"/>
          <w:lang w:val="en-AU"/>
        </w:rPr>
        <w:t>ρέσω</w:t>
      </w:r>
      <w:proofErr w:type="spellEnd"/>
      <w:r w:rsidRPr="00795E97">
        <w:rPr>
          <w:rStyle w:val="VCAAitalics"/>
          <w:lang w:val="en-AU"/>
        </w:rPr>
        <w:t xml:space="preserve">, </w:t>
      </w:r>
      <w:proofErr w:type="spellStart"/>
      <w:r w:rsidRPr="00795E97">
        <w:rPr>
          <w:rStyle w:val="VCAAitalics"/>
          <w:lang w:val="en-AU"/>
        </w:rPr>
        <w:t>έχω</w:t>
      </w:r>
      <w:proofErr w:type="spellEnd"/>
      <w:r w:rsidRPr="00795E97">
        <w:rPr>
          <w:rStyle w:val="VCAAitalics"/>
          <w:lang w:val="en-AU"/>
        </w:rPr>
        <w:t xml:space="preserve"> </w:t>
      </w:r>
      <w:proofErr w:type="spellStart"/>
      <w:r w:rsidRPr="00795E97">
        <w:rPr>
          <w:rStyle w:val="VCAAitalics"/>
          <w:lang w:val="en-AU"/>
        </w:rPr>
        <w:t>φτιάχνω</w:t>
      </w:r>
      <w:proofErr w:type="spellEnd"/>
      <w:r w:rsidRPr="00795E97">
        <w:rPr>
          <w:lang w:val="en-AU"/>
        </w:rPr>
        <w:t xml:space="preserve">) </w:t>
      </w:r>
    </w:p>
    <w:p w14:paraId="061795F7" w14:textId="77777777" w:rsidR="00711DC3" w:rsidRPr="00795E97" w:rsidRDefault="00092235">
      <w:pPr>
        <w:pStyle w:val="VCAAbullet"/>
        <w:numPr>
          <w:ilvl w:val="0"/>
          <w:numId w:val="1"/>
        </w:numPr>
        <w:ind w:left="425" w:hanging="425"/>
        <w:rPr>
          <w:lang w:val="en-AU"/>
        </w:rPr>
      </w:pPr>
      <w:r w:rsidRPr="00795E97">
        <w:rPr>
          <w:lang w:val="en-AU"/>
        </w:rPr>
        <w:t>incorrect stress and pronunciation of words (</w:t>
      </w:r>
      <w:proofErr w:type="spellStart"/>
      <w:r w:rsidRPr="00795E97">
        <w:rPr>
          <w:rStyle w:val="VCAAitalics"/>
          <w:lang w:val="en-AU"/>
        </w:rPr>
        <w:t>γιάτρος</w:t>
      </w:r>
      <w:proofErr w:type="spellEnd"/>
      <w:r w:rsidRPr="00795E97">
        <w:rPr>
          <w:rStyle w:val="VCAAitalics"/>
          <w:lang w:val="en-AU"/>
        </w:rPr>
        <w:t xml:space="preserve">, η </w:t>
      </w:r>
      <w:proofErr w:type="spellStart"/>
      <w:r w:rsidRPr="00795E97">
        <w:rPr>
          <w:rStyle w:val="VCAAitalics"/>
          <w:lang w:val="en-AU"/>
        </w:rPr>
        <w:t>μητερά</w:t>
      </w:r>
      <w:proofErr w:type="spellEnd"/>
      <w:r w:rsidRPr="00795E97">
        <w:rPr>
          <w:lang w:val="en-AU"/>
        </w:rPr>
        <w:t>)</w:t>
      </w:r>
    </w:p>
    <w:p w14:paraId="51E0D3DC" w14:textId="77777777" w:rsidR="00711DC3" w:rsidRPr="00795E97" w:rsidRDefault="00092235">
      <w:pPr>
        <w:pStyle w:val="VCAAbullet"/>
        <w:numPr>
          <w:ilvl w:val="0"/>
          <w:numId w:val="1"/>
        </w:numPr>
        <w:ind w:left="425" w:hanging="425"/>
        <w:rPr>
          <w:lang w:val="en-AU"/>
        </w:rPr>
      </w:pPr>
      <w:r w:rsidRPr="00795E97">
        <w:rPr>
          <w:lang w:val="en-AU"/>
        </w:rPr>
        <w:t>incorrect use of words (</w:t>
      </w:r>
      <w:proofErr w:type="spellStart"/>
      <w:r w:rsidRPr="00795E97">
        <w:rPr>
          <w:rStyle w:val="VCAAitalics"/>
          <w:lang w:val="en-AU"/>
        </w:rPr>
        <w:t>μή</w:t>
      </w:r>
      <w:proofErr w:type="spellEnd"/>
      <w:r w:rsidRPr="00795E97">
        <w:rPr>
          <w:rStyle w:val="VCAAitalics"/>
          <w:lang w:val="en-AU"/>
        </w:rPr>
        <w:t>πως</w:t>
      </w:r>
      <w:r w:rsidRPr="00795E97">
        <w:rPr>
          <w:lang w:val="en-AU"/>
        </w:rPr>
        <w:t xml:space="preserve"> instead of </w:t>
      </w:r>
      <w:proofErr w:type="spellStart"/>
      <w:r w:rsidRPr="00795E97">
        <w:rPr>
          <w:rStyle w:val="VCAAitalics"/>
          <w:lang w:val="en-AU"/>
        </w:rPr>
        <w:t>ίσως</w:t>
      </w:r>
      <w:proofErr w:type="spellEnd"/>
      <w:r w:rsidRPr="00795E97">
        <w:rPr>
          <w:rStyle w:val="VCAAitalics"/>
          <w:lang w:val="en-AU"/>
        </w:rPr>
        <w:t xml:space="preserve">, </w:t>
      </w:r>
      <w:proofErr w:type="spellStart"/>
      <w:r w:rsidRPr="00795E97">
        <w:rPr>
          <w:rStyle w:val="VCAAitalics"/>
          <w:lang w:val="en-AU"/>
        </w:rPr>
        <w:t>Πυθ</w:t>
      </w:r>
      <w:proofErr w:type="spellEnd"/>
      <w:r w:rsidRPr="00795E97">
        <w:rPr>
          <w:rStyle w:val="VCAAitalics"/>
          <w:lang w:val="en-AU"/>
        </w:rPr>
        <w:t>αργός</w:t>
      </w:r>
      <w:r w:rsidRPr="00795E97">
        <w:rPr>
          <w:lang w:val="en-AU"/>
        </w:rPr>
        <w:t xml:space="preserve"> instead of </w:t>
      </w:r>
      <w:proofErr w:type="spellStart"/>
      <w:r w:rsidRPr="00795E97">
        <w:rPr>
          <w:rStyle w:val="VCAAitalics"/>
          <w:lang w:val="en-AU"/>
        </w:rPr>
        <w:t>Πυθ</w:t>
      </w:r>
      <w:proofErr w:type="spellEnd"/>
      <w:r w:rsidRPr="00795E97">
        <w:rPr>
          <w:rStyle w:val="VCAAitalics"/>
          <w:lang w:val="en-AU"/>
        </w:rPr>
        <w:t>αγόρας</w:t>
      </w:r>
      <w:r w:rsidRPr="00795E97">
        <w:rPr>
          <w:lang w:val="en-AU"/>
        </w:rPr>
        <w:t>)</w:t>
      </w:r>
    </w:p>
    <w:p w14:paraId="392C826D" w14:textId="77777777" w:rsidR="00711DC3" w:rsidRPr="00795E97" w:rsidRDefault="00092235">
      <w:pPr>
        <w:pStyle w:val="VCAAbullet"/>
        <w:numPr>
          <w:ilvl w:val="0"/>
          <w:numId w:val="1"/>
        </w:numPr>
        <w:ind w:left="425" w:hanging="425"/>
        <w:rPr>
          <w:lang w:val="en-AU"/>
        </w:rPr>
      </w:pPr>
      <w:r w:rsidRPr="00795E97">
        <w:rPr>
          <w:lang w:val="en-AU"/>
        </w:rPr>
        <w:t>incorrect use of articles (</w:t>
      </w:r>
      <w:proofErr w:type="spellStart"/>
      <w:r w:rsidRPr="00795E97">
        <w:rPr>
          <w:rStyle w:val="VCAAitalics"/>
          <w:lang w:val="en-AU"/>
        </w:rPr>
        <w:t>το</w:t>
      </w:r>
      <w:proofErr w:type="spellEnd"/>
      <w:r w:rsidRPr="00795E97">
        <w:rPr>
          <w:rStyle w:val="VCAAitalics"/>
          <w:lang w:val="en-AU"/>
        </w:rPr>
        <w:t xml:space="preserve"> </w:t>
      </w:r>
      <w:proofErr w:type="spellStart"/>
      <w:r w:rsidRPr="00795E97">
        <w:rPr>
          <w:rStyle w:val="VCAAitalics"/>
          <w:lang w:val="en-AU"/>
        </w:rPr>
        <w:t>δουλειά</w:t>
      </w:r>
      <w:proofErr w:type="spellEnd"/>
      <w:r w:rsidRPr="00795E97">
        <w:rPr>
          <w:rStyle w:val="VCAAitalics"/>
          <w:lang w:val="en-AU"/>
        </w:rPr>
        <w:t xml:space="preserve">, </w:t>
      </w:r>
      <w:proofErr w:type="spellStart"/>
      <w:r w:rsidRPr="00795E97">
        <w:rPr>
          <w:rStyle w:val="VCAAitalics"/>
          <w:lang w:val="en-AU"/>
        </w:rPr>
        <w:t>τις</w:t>
      </w:r>
      <w:proofErr w:type="spellEnd"/>
      <w:r w:rsidRPr="00795E97">
        <w:rPr>
          <w:rStyle w:val="VCAAitalics"/>
          <w:lang w:val="en-AU"/>
        </w:rPr>
        <w:t xml:space="preserve"> </w:t>
      </w:r>
      <w:proofErr w:type="spellStart"/>
      <w:r w:rsidRPr="00795E97">
        <w:rPr>
          <w:rStyle w:val="VCAAitalics"/>
          <w:lang w:val="en-AU"/>
        </w:rPr>
        <w:t>ηλικί</w:t>
      </w:r>
      <w:proofErr w:type="spellEnd"/>
      <w:r w:rsidRPr="00795E97">
        <w:rPr>
          <w:rStyle w:val="VCAAitalics"/>
          <w:lang w:val="en-AU"/>
        </w:rPr>
        <w:t>α</w:t>
      </w:r>
      <w:r w:rsidRPr="00795E97">
        <w:rPr>
          <w:lang w:val="en-AU"/>
        </w:rPr>
        <w:t>)</w:t>
      </w:r>
    </w:p>
    <w:p w14:paraId="7B9471D3" w14:textId="77777777" w:rsidR="00711DC3" w:rsidRPr="00795E97" w:rsidRDefault="00092235">
      <w:pPr>
        <w:pStyle w:val="VCAAbullet"/>
        <w:numPr>
          <w:ilvl w:val="0"/>
          <w:numId w:val="1"/>
        </w:numPr>
        <w:ind w:left="425" w:hanging="425"/>
        <w:rPr>
          <w:lang w:val="en-AU"/>
        </w:rPr>
      </w:pPr>
      <w:r w:rsidRPr="00795E97">
        <w:rPr>
          <w:lang w:val="en-AU"/>
        </w:rPr>
        <w:t>incorrect plural form of adjectives and nouns / lack of agreement between adjectives and nouns (</w:t>
      </w:r>
      <w:r w:rsidRPr="00795E97">
        <w:rPr>
          <w:rStyle w:val="VCAAitalics"/>
          <w:lang w:val="en-AU"/>
        </w:rPr>
        <w:t>π</w:t>
      </w:r>
      <w:proofErr w:type="spellStart"/>
      <w:r w:rsidRPr="00795E97">
        <w:rPr>
          <w:rStyle w:val="VCAAitalics"/>
          <w:lang w:val="en-AU"/>
        </w:rPr>
        <w:t>ολλές</w:t>
      </w:r>
      <w:proofErr w:type="spellEnd"/>
      <w:r w:rsidRPr="00795E97">
        <w:rPr>
          <w:rStyle w:val="VCAAitalics"/>
          <w:lang w:val="en-AU"/>
        </w:rPr>
        <w:t xml:space="preserve"> </w:t>
      </w:r>
      <w:proofErr w:type="spellStart"/>
      <w:r w:rsidRPr="00795E97">
        <w:rPr>
          <w:rStyle w:val="VCAAitalics"/>
          <w:lang w:val="en-AU"/>
        </w:rPr>
        <w:t>μετ</w:t>
      </w:r>
      <w:proofErr w:type="spellEnd"/>
      <w:r w:rsidRPr="00795E97">
        <w:rPr>
          <w:rStyle w:val="VCAAitalics"/>
          <w:lang w:val="en-AU"/>
        </w:rPr>
        <w:t>ανάστες, η π</w:t>
      </w:r>
      <w:proofErr w:type="spellStart"/>
      <w:r w:rsidRPr="00795E97">
        <w:rPr>
          <w:rStyle w:val="VCAAitalics"/>
          <w:lang w:val="en-AU"/>
        </w:rPr>
        <w:t>ράγμ</w:t>
      </w:r>
      <w:proofErr w:type="spellEnd"/>
      <w:r w:rsidRPr="00795E97">
        <w:rPr>
          <w:rStyle w:val="VCAAitalics"/>
          <w:lang w:val="en-AU"/>
        </w:rPr>
        <w:t>α α</w:t>
      </w:r>
      <w:proofErr w:type="spellStart"/>
      <w:r w:rsidRPr="00795E97">
        <w:rPr>
          <w:rStyle w:val="VCAAitalics"/>
          <w:lang w:val="en-AU"/>
        </w:rPr>
        <w:t>υτή</w:t>
      </w:r>
      <w:proofErr w:type="spellEnd"/>
      <w:r w:rsidRPr="00795E97">
        <w:rPr>
          <w:rStyle w:val="VCAAitalics"/>
          <w:lang w:val="en-AU"/>
        </w:rPr>
        <w:t xml:space="preserve"> </w:t>
      </w:r>
      <w:proofErr w:type="spellStart"/>
      <w:r w:rsidRPr="00795E97">
        <w:rPr>
          <w:rStyle w:val="VCAAitalics"/>
          <w:lang w:val="en-AU"/>
        </w:rPr>
        <w:t>ήτ</w:t>
      </w:r>
      <w:proofErr w:type="spellEnd"/>
      <w:r w:rsidRPr="00795E97">
        <w:rPr>
          <w:rStyle w:val="VCAAitalics"/>
          <w:lang w:val="en-AU"/>
        </w:rPr>
        <w:t xml:space="preserve">αν </w:t>
      </w:r>
      <w:proofErr w:type="spellStart"/>
      <w:r w:rsidRPr="00795E97">
        <w:rPr>
          <w:rStyle w:val="VCAAitalics"/>
          <w:lang w:val="en-AU"/>
        </w:rPr>
        <w:t>δύσκολο</w:t>
      </w:r>
      <w:proofErr w:type="spellEnd"/>
      <w:r w:rsidRPr="00795E97">
        <w:rPr>
          <w:lang w:val="en-AU"/>
        </w:rPr>
        <w:t>)</w:t>
      </w:r>
    </w:p>
    <w:p w14:paraId="08DFB0E1" w14:textId="77777777" w:rsidR="00711DC3" w:rsidRPr="00795E97" w:rsidRDefault="00092235">
      <w:pPr>
        <w:pStyle w:val="VCAAbullet"/>
        <w:numPr>
          <w:ilvl w:val="0"/>
          <w:numId w:val="1"/>
        </w:numPr>
        <w:ind w:left="425" w:hanging="425"/>
        <w:rPr>
          <w:lang w:val="en-AU"/>
        </w:rPr>
      </w:pPr>
      <w:r w:rsidRPr="00795E97">
        <w:rPr>
          <w:lang w:val="en-AU"/>
        </w:rPr>
        <w:t>incorrect verb tenses and verb endings (</w:t>
      </w:r>
      <w:proofErr w:type="spellStart"/>
      <w:r w:rsidRPr="00795E97">
        <w:rPr>
          <w:rStyle w:val="VCAAitalics"/>
          <w:lang w:val="en-AU"/>
        </w:rPr>
        <w:t>έτρεχ</w:t>
      </w:r>
      <w:proofErr w:type="spellEnd"/>
      <w:r w:rsidRPr="00795E97">
        <w:rPr>
          <w:rStyle w:val="VCAAitalics"/>
          <w:lang w:val="en-AU"/>
        </w:rPr>
        <w:t>α</w:t>
      </w:r>
      <w:r w:rsidRPr="00795E97">
        <w:rPr>
          <w:lang w:val="en-AU"/>
        </w:rPr>
        <w:t xml:space="preserve"> instead of </w:t>
      </w:r>
      <w:proofErr w:type="spellStart"/>
      <w:r w:rsidRPr="00795E97">
        <w:rPr>
          <w:rStyle w:val="VCAAitalics"/>
          <w:lang w:val="en-AU"/>
        </w:rPr>
        <w:t>έτρεξ</w:t>
      </w:r>
      <w:proofErr w:type="spellEnd"/>
      <w:r w:rsidRPr="00795E97">
        <w:rPr>
          <w:rStyle w:val="VCAAitalics"/>
          <w:lang w:val="en-AU"/>
        </w:rPr>
        <w:t>α</w:t>
      </w:r>
      <w:r w:rsidRPr="00795E97">
        <w:rPr>
          <w:lang w:val="en-AU"/>
        </w:rPr>
        <w:t xml:space="preserve">) </w:t>
      </w:r>
    </w:p>
    <w:p w14:paraId="089159B8" w14:textId="77777777" w:rsidR="00711DC3" w:rsidRPr="00795E97" w:rsidRDefault="00092235">
      <w:pPr>
        <w:pStyle w:val="VCAAbullet"/>
        <w:numPr>
          <w:ilvl w:val="0"/>
          <w:numId w:val="1"/>
        </w:numPr>
        <w:ind w:left="425" w:hanging="425"/>
        <w:rPr>
          <w:lang w:val="en-AU"/>
        </w:rPr>
      </w:pPr>
      <w:r w:rsidRPr="00795E97">
        <w:rPr>
          <w:lang w:val="en-AU"/>
        </w:rPr>
        <w:t>use of English words ‘and’, ‘like’ and anglicisms</w:t>
      </w:r>
    </w:p>
    <w:p w14:paraId="4B2BA13D" w14:textId="0A1CA995" w:rsidR="00711DC3" w:rsidRDefault="00092235">
      <w:pPr>
        <w:pStyle w:val="VCAAbullet"/>
        <w:numPr>
          <w:ilvl w:val="0"/>
          <w:numId w:val="1"/>
        </w:numPr>
        <w:ind w:left="425" w:hanging="425"/>
        <w:rPr>
          <w:lang w:val="en-AU"/>
        </w:rPr>
      </w:pPr>
      <w:r w:rsidRPr="00795E97">
        <w:rPr>
          <w:lang w:val="en-AU"/>
        </w:rPr>
        <w:t>translating expressions from English (</w:t>
      </w:r>
      <w:r w:rsidRPr="00795E97">
        <w:rPr>
          <w:rStyle w:val="VCAAitalics"/>
          <w:lang w:val="en-AU"/>
        </w:rPr>
        <w:t>π</w:t>
      </w:r>
      <w:proofErr w:type="spellStart"/>
      <w:r w:rsidRPr="00795E97">
        <w:rPr>
          <w:rStyle w:val="VCAAitalics"/>
          <w:lang w:val="en-AU"/>
        </w:rPr>
        <w:t>ριν</w:t>
      </w:r>
      <w:proofErr w:type="spellEnd"/>
      <w:r w:rsidRPr="00795E97">
        <w:rPr>
          <w:rStyle w:val="VCAAitalics"/>
          <w:lang w:val="en-AU"/>
        </w:rPr>
        <w:t xml:space="preserve"> </w:t>
      </w:r>
      <w:proofErr w:type="spellStart"/>
      <w:r w:rsidRPr="00795E97">
        <w:rPr>
          <w:rStyle w:val="VCAAitalics"/>
          <w:lang w:val="en-AU"/>
        </w:rPr>
        <w:t>ήρθ</w:t>
      </w:r>
      <w:proofErr w:type="spellEnd"/>
      <w:r w:rsidRPr="00795E97">
        <w:rPr>
          <w:rStyle w:val="VCAAitalics"/>
          <w:lang w:val="en-AU"/>
        </w:rPr>
        <w:t xml:space="preserve">α </w:t>
      </w:r>
      <w:proofErr w:type="spellStart"/>
      <w:r w:rsidRPr="00795E97">
        <w:rPr>
          <w:rStyle w:val="VCAAitalics"/>
          <w:lang w:val="en-AU"/>
        </w:rPr>
        <w:t>στο</w:t>
      </w:r>
      <w:proofErr w:type="spellEnd"/>
      <w:r w:rsidRPr="00795E97">
        <w:rPr>
          <w:rStyle w:val="VCAAitalics"/>
          <w:lang w:val="en-AU"/>
        </w:rPr>
        <w:t xml:space="preserve"> </w:t>
      </w:r>
      <w:proofErr w:type="spellStart"/>
      <w:r w:rsidRPr="00795E97">
        <w:rPr>
          <w:rStyle w:val="VCAAitalics"/>
          <w:lang w:val="en-AU"/>
        </w:rPr>
        <w:t>λεωφορείο</w:t>
      </w:r>
      <w:proofErr w:type="spellEnd"/>
      <w:r w:rsidRPr="00795E97">
        <w:rPr>
          <w:lang w:val="en-AU"/>
        </w:rPr>
        <w:t>).</w:t>
      </w:r>
    </w:p>
    <w:p w14:paraId="5B18FD60" w14:textId="77777777" w:rsidR="00247337" w:rsidRDefault="00247337" w:rsidP="00247337">
      <w:pPr>
        <w:pStyle w:val="VCAAbody"/>
        <w:rPr>
          <w:rFonts w:eastAsia="Times New Roman"/>
          <w:lang w:val="en-AU"/>
        </w:rPr>
      </w:pPr>
      <w:r>
        <w:rPr>
          <w:lang w:val="en-AU"/>
        </w:rPr>
        <w:t>It should be noted that during the oral examination:</w:t>
      </w:r>
    </w:p>
    <w:p w14:paraId="68BD2C9B" w14:textId="77777777" w:rsidR="00247337" w:rsidRDefault="00247337" w:rsidP="00247337">
      <w:pPr>
        <w:pStyle w:val="VCAAbullet"/>
        <w:numPr>
          <w:ilvl w:val="0"/>
          <w:numId w:val="3"/>
        </w:numPr>
        <w:tabs>
          <w:tab w:val="clear" w:pos="425"/>
        </w:tabs>
        <w:ind w:left="426" w:hanging="426"/>
        <w:rPr>
          <w:lang w:val="en-AU"/>
        </w:rPr>
      </w:pPr>
      <w:r>
        <w:rPr>
          <w:lang w:val="en-AU"/>
        </w:rPr>
        <w:t xml:space="preserve">students may be asked a variety of questions of varying levels of difficulty. Questions may also be asked in a different order from the one </w:t>
      </w:r>
      <w:proofErr w:type="gramStart"/>
      <w:r>
        <w:rPr>
          <w:lang w:val="en-AU"/>
        </w:rPr>
        <w:t>students</w:t>
      </w:r>
      <w:proofErr w:type="gramEnd"/>
      <w:r>
        <w:rPr>
          <w:lang w:val="en-AU"/>
        </w:rPr>
        <w:t xml:space="preserve"> anticipate</w:t>
      </w:r>
    </w:p>
    <w:p w14:paraId="3C652341" w14:textId="77777777" w:rsidR="00247337" w:rsidRDefault="00247337" w:rsidP="00247337">
      <w:pPr>
        <w:pStyle w:val="VCAAbullet"/>
        <w:numPr>
          <w:ilvl w:val="0"/>
          <w:numId w:val="3"/>
        </w:numPr>
        <w:tabs>
          <w:tab w:val="clear" w:pos="425"/>
        </w:tabs>
        <w:ind w:left="426" w:hanging="426"/>
        <w:rPr>
          <w:lang w:val="en-AU"/>
        </w:rPr>
      </w:pPr>
      <w:r>
        <w:rPr>
          <w:lang w:val="en-AU"/>
        </w:rPr>
        <w:t>assessors may interrupt students to ask questions during either section of the examination; this should be regarded as a normal process in a discussion</w:t>
      </w:r>
    </w:p>
    <w:p w14:paraId="0F065280" w14:textId="77777777" w:rsidR="00247337" w:rsidRDefault="00247337" w:rsidP="00247337">
      <w:pPr>
        <w:pStyle w:val="VCAAbullet"/>
        <w:numPr>
          <w:ilvl w:val="0"/>
          <w:numId w:val="3"/>
        </w:numPr>
        <w:tabs>
          <w:tab w:val="clear" w:pos="425"/>
        </w:tabs>
        <w:ind w:left="426" w:hanging="426"/>
        <w:rPr>
          <w:lang w:val="en-AU"/>
        </w:rPr>
      </w:pPr>
      <w:r>
        <w:rPr>
          <w:lang w:val="en-AU"/>
        </w:rPr>
        <w:t>assessors may also repeat or rephrase questions</w:t>
      </w:r>
    </w:p>
    <w:p w14:paraId="0097C2D5" w14:textId="77777777" w:rsidR="00247337" w:rsidRDefault="00247337" w:rsidP="00247337">
      <w:pPr>
        <w:pStyle w:val="VCAAbullet"/>
        <w:numPr>
          <w:ilvl w:val="0"/>
          <w:numId w:val="3"/>
        </w:numPr>
        <w:tabs>
          <w:tab w:val="clear" w:pos="425"/>
        </w:tabs>
        <w:ind w:left="426" w:hanging="426"/>
        <w:rPr>
          <w:lang w:val="en-AU"/>
        </w:rPr>
      </w:pPr>
      <w:r>
        <w:rPr>
          <w:lang w:val="en-AU"/>
        </w:rPr>
        <w:t>normal variation in assessor body language is acceptable.</w:t>
      </w:r>
    </w:p>
    <w:p w14:paraId="63D5803E" w14:textId="77777777" w:rsidR="00711DC3" w:rsidRPr="00795E97" w:rsidRDefault="00092235">
      <w:pPr>
        <w:pStyle w:val="VCAAHeading2"/>
        <w:rPr>
          <w:lang w:val="en-AU"/>
        </w:rPr>
      </w:pPr>
      <w:r w:rsidRPr="00795E97">
        <w:rPr>
          <w:lang w:val="en-AU"/>
        </w:rPr>
        <w:t>Section 1 – Conversation</w:t>
      </w:r>
    </w:p>
    <w:p w14:paraId="10A5B79F" w14:textId="24E8B663" w:rsidR="00711DC3" w:rsidRPr="00795E97" w:rsidRDefault="00092235">
      <w:pPr>
        <w:pStyle w:val="VCAAbody"/>
        <w:rPr>
          <w:lang w:val="en-AU"/>
        </w:rPr>
      </w:pPr>
      <w:r w:rsidRPr="00795E97">
        <w:rPr>
          <w:lang w:val="en-AU"/>
        </w:rPr>
        <w:t xml:space="preserve">In general, students handled the requirements of Section 1 well. Most students were prepared and able to respond to and communicate with the assessors about their personal world, as well as their interactions with the Greek language and culture as learners. They talked about their involvement with Greek culture through activities such as festivals, dancing classes and playing Greek instruments. They were able to elaborate on their responses and give reasons for their ideas and opinions. </w:t>
      </w:r>
    </w:p>
    <w:p w14:paraId="66A34D88" w14:textId="77777777" w:rsidR="000842A8" w:rsidRDefault="00092235">
      <w:pPr>
        <w:pStyle w:val="VCAAbody"/>
        <w:rPr>
          <w:lang w:val="en-AU"/>
        </w:rPr>
        <w:sectPr w:rsidR="000842A8">
          <w:headerReference w:type="default" r:id="rId13"/>
          <w:footerReference w:type="default" r:id="rId14"/>
          <w:pgSz w:w="11906" w:h="16838"/>
          <w:pgMar w:top="1418" w:right="1134" w:bottom="567" w:left="1134" w:header="283" w:footer="283" w:gutter="0"/>
          <w:cols w:space="720"/>
          <w:formProt w:val="0"/>
          <w:docGrid w:linePitch="312"/>
        </w:sectPr>
      </w:pPr>
      <w:r w:rsidRPr="00795E97">
        <w:rPr>
          <w:lang w:val="en-AU"/>
        </w:rPr>
        <w:t>Students who scored highly were engaged in the conversation and communicated readily and confidently, providing highly relevant responses.</w:t>
      </w:r>
    </w:p>
    <w:p w14:paraId="594E90CB" w14:textId="77777777" w:rsidR="00711DC3" w:rsidRPr="00795E97" w:rsidRDefault="00092235">
      <w:pPr>
        <w:pStyle w:val="VCAAbody"/>
        <w:rPr>
          <w:lang w:val="en-AU"/>
        </w:rPr>
      </w:pPr>
      <w:r w:rsidRPr="00795E97">
        <w:rPr>
          <w:lang w:val="en-AU"/>
        </w:rPr>
        <w:lastRenderedPageBreak/>
        <w:t xml:space="preserve">Students who did not score as highly limited their language use to simple vocabulary and sentence structures. They presented a limited range of information and did not elaborate on their ideas and opinions. </w:t>
      </w:r>
      <w:r w:rsidRPr="00795E97">
        <w:rPr>
          <w:rStyle w:val="CommentReference"/>
          <w:rFonts w:cstheme="minorBidi"/>
          <w:color w:val="auto"/>
          <w:lang w:val="en-AU"/>
        </w:rPr>
        <w:t xml:space="preserve"> </w:t>
      </w:r>
    </w:p>
    <w:p w14:paraId="36159D87" w14:textId="6A15D273" w:rsidR="00711DC3" w:rsidRPr="00795E97" w:rsidRDefault="00711DC3">
      <w:pPr>
        <w:sectPr w:rsidR="00711DC3" w:rsidRPr="00795E97" w:rsidSect="00795E97">
          <w:headerReference w:type="default" r:id="rId15"/>
          <w:footerReference w:type="default" r:id="rId16"/>
          <w:type w:val="continuous"/>
          <w:pgSz w:w="11906" w:h="16838"/>
          <w:pgMar w:top="1418" w:right="1134" w:bottom="567" w:left="1134" w:header="283" w:footer="283" w:gutter="0"/>
          <w:cols w:space="720"/>
          <w:formProt w:val="0"/>
          <w:docGrid w:linePitch="312"/>
        </w:sectPr>
      </w:pPr>
    </w:p>
    <w:p w14:paraId="76491F74" w14:textId="77777777" w:rsidR="00711DC3" w:rsidRPr="00795E97" w:rsidRDefault="00092235">
      <w:pPr>
        <w:pStyle w:val="VCAAHeading2"/>
        <w:keepNext/>
        <w:keepLines/>
        <w:rPr>
          <w:lang w:val="en-AU"/>
        </w:rPr>
      </w:pPr>
      <w:r w:rsidRPr="00795E97">
        <w:rPr>
          <w:lang w:val="en-AU"/>
        </w:rPr>
        <w:t>Section 2 – Discussion</w:t>
      </w:r>
    </w:p>
    <w:p w14:paraId="6E48960E" w14:textId="77777777" w:rsidR="00711DC3" w:rsidRPr="00795E97" w:rsidRDefault="00092235">
      <w:pPr>
        <w:pStyle w:val="VCAAbody"/>
        <w:keepNext/>
        <w:rPr>
          <w:lang w:val="en-AU"/>
        </w:rPr>
      </w:pPr>
      <w:r w:rsidRPr="00795E97">
        <w:rPr>
          <w:lang w:val="en-AU"/>
        </w:rPr>
        <w:t xml:space="preserve">A wide variety of subtopics were used for Section 2. Students scored higher when the selection of subtopic enabled them to explore a range of related information, opinions and ideas. </w:t>
      </w:r>
    </w:p>
    <w:p w14:paraId="71B18D18" w14:textId="77777777" w:rsidR="00711DC3" w:rsidRPr="00795E97" w:rsidRDefault="00092235">
      <w:pPr>
        <w:pStyle w:val="VCAAbody"/>
        <w:rPr>
          <w:lang w:val="en-AU"/>
        </w:rPr>
      </w:pPr>
      <w:r w:rsidRPr="00795E97">
        <w:rPr>
          <w:lang w:val="en-AU"/>
        </w:rPr>
        <w:t>Some students concentrated on the image, using it as the main focus of the discussion. Students should be aware that the focus of the discussion is the subtopic; the image is a support to the subtopic. Students should not merely describe the image but discuss it in way that links to their subtopic. High-scoring students were able to elaborate on the image and sometimes referred to the symbolic nature of certain elements in the image or discussed how the colour or the expressions of people depicted in the image conveyed meaning.</w:t>
      </w:r>
    </w:p>
    <w:bookmarkEnd w:id="0"/>
    <w:p w14:paraId="437ED538" w14:textId="77777777" w:rsidR="00711DC3" w:rsidRPr="00795E97" w:rsidRDefault="00711DC3">
      <w:pPr>
        <w:pStyle w:val="VCAAbody"/>
        <w:rPr>
          <w:lang w:val="en-AU"/>
        </w:rPr>
      </w:pPr>
    </w:p>
    <w:sectPr w:rsidR="00711DC3" w:rsidRPr="00795E97">
      <w:headerReference w:type="default" r:id="rId17"/>
      <w:footerReference w:type="default" r:id="rId18"/>
      <w:type w:val="continuous"/>
      <w:pgSz w:w="11906" w:h="16838"/>
      <w:pgMar w:top="1418" w:right="1134" w:bottom="567" w:left="1134" w:header="283" w:footer="283"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AFFE9" w14:textId="77777777" w:rsidR="00A2631F" w:rsidRDefault="00A2631F">
      <w:pPr>
        <w:spacing w:after="0" w:line="240" w:lineRule="auto"/>
      </w:pPr>
      <w:r>
        <w:separator/>
      </w:r>
    </w:p>
  </w:endnote>
  <w:endnote w:type="continuationSeparator" w:id="0">
    <w:p w14:paraId="2F7D3333" w14:textId="77777777" w:rsidR="00A2631F" w:rsidRDefault="00A26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0" w:type="pct"/>
      <w:tblInd w:w="567" w:type="dxa"/>
      <w:tblCellMar>
        <w:left w:w="0" w:type="dxa"/>
        <w:right w:w="0" w:type="dxa"/>
      </w:tblCellMar>
      <w:tblLook w:val="04A0" w:firstRow="1" w:lastRow="0" w:firstColumn="1" w:lastColumn="0" w:noHBand="0" w:noVBand="1"/>
    </w:tblPr>
    <w:tblGrid>
      <w:gridCol w:w="2645"/>
      <w:gridCol w:w="3208"/>
      <w:gridCol w:w="3207"/>
    </w:tblGrid>
    <w:tr w:rsidR="00711DC3" w14:paraId="67ACB9A4" w14:textId="77777777">
      <w:tc>
        <w:tcPr>
          <w:tcW w:w="2644" w:type="dxa"/>
          <w:shd w:val="clear" w:color="auto" w:fill="auto"/>
        </w:tcPr>
        <w:p w14:paraId="0961ECE5" w14:textId="64C5857C" w:rsidR="00711DC3" w:rsidRDefault="00795E97">
          <w:pPr>
            <w:tabs>
              <w:tab w:val="right" w:pos="9639"/>
            </w:tabs>
            <w:spacing w:before="120" w:after="0" w:line="240" w:lineRule="exact"/>
          </w:pPr>
          <w:r>
            <w:rPr>
              <w:noProof/>
              <w:sz w:val="2"/>
              <w:lang w:eastAsia="en-AU"/>
            </w:rPr>
            <w:drawing>
              <wp:anchor distT="0" distB="0" distL="114300" distR="114300" simplePos="0" relativeHeight="5" behindDoc="1" locked="0" layoutInCell="1" allowOverlap="1" wp14:anchorId="11C61E77" wp14:editId="2997975F">
                <wp:simplePos x="0" y="0"/>
                <wp:positionH relativeFrom="page">
                  <wp:posOffset>-1080135</wp:posOffset>
                </wp:positionH>
                <wp:positionV relativeFrom="paragraph">
                  <wp:posOffset>-14838</wp:posOffset>
                </wp:positionV>
                <wp:extent cx="7560310" cy="53784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
                        <a:stretch>
                          <a:fillRect/>
                        </a:stretch>
                      </pic:blipFill>
                      <pic:spPr bwMode="auto">
                        <a:xfrm>
                          <a:off x="0" y="0"/>
                          <a:ext cx="7560310" cy="537845"/>
                        </a:xfrm>
                        <a:prstGeom prst="rect">
                          <a:avLst/>
                        </a:prstGeom>
                      </pic:spPr>
                    </pic:pic>
                  </a:graphicData>
                </a:graphic>
              </wp:anchor>
            </w:drawing>
          </w:r>
          <w:r w:rsidR="00092235">
            <w:rPr>
              <w:rFonts w:cs="Arial"/>
              <w:color w:val="FFFFFF" w:themeColor="background1"/>
              <w:sz w:val="18"/>
              <w:szCs w:val="18"/>
            </w:rPr>
            <w:t xml:space="preserve">© </w:t>
          </w:r>
          <w:hyperlink r:id="rId2">
            <w:r w:rsidR="00092235">
              <w:rPr>
                <w:rStyle w:val="ListLabel14"/>
              </w:rPr>
              <w:t>VCAA</w:t>
            </w:r>
          </w:hyperlink>
        </w:p>
      </w:tc>
      <w:tc>
        <w:tcPr>
          <w:tcW w:w="3208" w:type="dxa"/>
          <w:shd w:val="clear" w:color="auto" w:fill="auto"/>
        </w:tcPr>
        <w:p w14:paraId="0CC9D174" w14:textId="77777777" w:rsidR="00711DC3" w:rsidRDefault="00711DC3">
          <w:pPr>
            <w:tabs>
              <w:tab w:val="right" w:pos="9639"/>
            </w:tabs>
            <w:spacing w:before="120" w:after="0" w:line="240" w:lineRule="exact"/>
            <w:rPr>
              <w:rFonts w:asciiTheme="majorHAnsi" w:hAnsiTheme="majorHAnsi" w:cs="Arial"/>
              <w:color w:val="999999" w:themeColor="accent2"/>
              <w:sz w:val="18"/>
              <w:szCs w:val="18"/>
            </w:rPr>
          </w:pPr>
        </w:p>
      </w:tc>
      <w:tc>
        <w:tcPr>
          <w:tcW w:w="3207" w:type="dxa"/>
          <w:shd w:val="clear" w:color="auto" w:fill="auto"/>
        </w:tcPr>
        <w:p w14:paraId="357514D3" w14:textId="77777777" w:rsidR="00711DC3" w:rsidRDefault="00711DC3">
          <w:pPr>
            <w:tabs>
              <w:tab w:val="right" w:pos="9639"/>
            </w:tabs>
            <w:spacing w:before="120" w:after="0" w:line="240" w:lineRule="exact"/>
            <w:jc w:val="right"/>
            <w:rPr>
              <w:rFonts w:asciiTheme="majorHAnsi" w:hAnsiTheme="majorHAnsi" w:cs="Arial"/>
              <w:color w:val="999999" w:themeColor="accent2"/>
              <w:sz w:val="18"/>
              <w:szCs w:val="18"/>
            </w:rPr>
          </w:pPr>
        </w:p>
      </w:tc>
    </w:tr>
  </w:tbl>
  <w:p w14:paraId="685AC45C" w14:textId="4AE59658" w:rsidR="00711DC3" w:rsidRDefault="00711DC3">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6364" w:type="pct"/>
      <w:tblInd w:w="567" w:type="dxa"/>
      <w:tblCellMar>
        <w:left w:w="0" w:type="dxa"/>
        <w:right w:w="0" w:type="dxa"/>
      </w:tblCellMar>
      <w:tblLook w:val="04A0" w:firstRow="1" w:lastRow="0" w:firstColumn="1" w:lastColumn="0" w:noHBand="0" w:noVBand="1"/>
    </w:tblPr>
    <w:tblGrid>
      <w:gridCol w:w="2645"/>
      <w:gridCol w:w="3208"/>
      <w:gridCol w:w="3207"/>
      <w:gridCol w:w="3207"/>
    </w:tblGrid>
    <w:tr w:rsidR="000842A8" w14:paraId="7F063D5D" w14:textId="77777777" w:rsidTr="000842A8">
      <w:tc>
        <w:tcPr>
          <w:tcW w:w="2645" w:type="dxa"/>
          <w:shd w:val="clear" w:color="auto" w:fill="auto"/>
        </w:tcPr>
        <w:p w14:paraId="658C1251" w14:textId="77777777" w:rsidR="000842A8" w:rsidRDefault="000842A8" w:rsidP="000842A8">
          <w:pPr>
            <w:tabs>
              <w:tab w:val="right" w:pos="9639"/>
            </w:tabs>
            <w:spacing w:before="120" w:after="0" w:line="240" w:lineRule="exact"/>
          </w:pPr>
          <w:r>
            <w:rPr>
              <w:noProof/>
              <w:sz w:val="2"/>
              <w:lang w:eastAsia="en-AU"/>
            </w:rPr>
            <w:drawing>
              <wp:anchor distT="0" distB="0" distL="114300" distR="114300" simplePos="0" relativeHeight="251665408" behindDoc="1" locked="0" layoutInCell="1" allowOverlap="1" wp14:anchorId="4A5F3685" wp14:editId="41BB6FAC">
                <wp:simplePos x="0" y="0"/>
                <wp:positionH relativeFrom="page">
                  <wp:posOffset>-1080135</wp:posOffset>
                </wp:positionH>
                <wp:positionV relativeFrom="paragraph">
                  <wp:posOffset>-14838</wp:posOffset>
                </wp:positionV>
                <wp:extent cx="7560310" cy="537845"/>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
                        <a:stretch>
                          <a:fillRect/>
                        </a:stretch>
                      </pic:blipFill>
                      <pic:spPr bwMode="auto">
                        <a:xfrm>
                          <a:off x="0" y="0"/>
                          <a:ext cx="7560310" cy="537845"/>
                        </a:xfrm>
                        <a:prstGeom prst="rect">
                          <a:avLst/>
                        </a:prstGeom>
                      </pic:spPr>
                    </pic:pic>
                  </a:graphicData>
                </a:graphic>
              </wp:anchor>
            </w:drawing>
          </w:r>
          <w:r>
            <w:rPr>
              <w:rFonts w:cs="Arial"/>
              <w:color w:val="FFFFFF" w:themeColor="background1"/>
              <w:sz w:val="18"/>
              <w:szCs w:val="18"/>
            </w:rPr>
            <w:t xml:space="preserve">© </w:t>
          </w:r>
          <w:hyperlink r:id="rId2">
            <w:r>
              <w:rPr>
                <w:rStyle w:val="ListLabel14"/>
              </w:rPr>
              <w:t>VCAA</w:t>
            </w:r>
          </w:hyperlink>
        </w:p>
      </w:tc>
      <w:tc>
        <w:tcPr>
          <w:tcW w:w="3208" w:type="dxa"/>
          <w:shd w:val="clear" w:color="auto" w:fill="auto"/>
        </w:tcPr>
        <w:p w14:paraId="49A794E7" w14:textId="77777777" w:rsidR="000842A8" w:rsidRDefault="000842A8" w:rsidP="000842A8">
          <w:pPr>
            <w:tabs>
              <w:tab w:val="right" w:pos="9639"/>
            </w:tabs>
            <w:spacing w:before="120" w:after="0" w:line="240" w:lineRule="exact"/>
            <w:rPr>
              <w:rFonts w:asciiTheme="majorHAnsi" w:hAnsiTheme="majorHAnsi" w:cs="Arial"/>
              <w:color w:val="999999" w:themeColor="accent2"/>
              <w:sz w:val="18"/>
              <w:szCs w:val="18"/>
            </w:rPr>
          </w:pPr>
        </w:p>
      </w:tc>
      <w:tc>
        <w:tcPr>
          <w:tcW w:w="3207" w:type="dxa"/>
        </w:tcPr>
        <w:p w14:paraId="3F859BDD" w14:textId="343B5D55" w:rsidR="000842A8" w:rsidRDefault="000842A8" w:rsidP="000842A8">
          <w:pPr>
            <w:tabs>
              <w:tab w:val="right" w:pos="9639"/>
            </w:tabs>
            <w:spacing w:before="120" w:after="0" w:line="240" w:lineRule="exact"/>
            <w:jc w:val="right"/>
            <w:rPr>
              <w:rFonts w:asciiTheme="majorHAnsi" w:hAnsiTheme="majorHAnsi" w:cs="Arial"/>
              <w:color w:val="999999" w:themeColor="accent2"/>
              <w:sz w:val="18"/>
              <w:szCs w:val="18"/>
            </w:rPr>
          </w:pPr>
          <w:r w:rsidRPr="000453AB">
            <w:rPr>
              <w:rFonts w:cs="Arial"/>
              <w:color w:val="999999" w:themeColor="accent2"/>
              <w:sz w:val="18"/>
              <w:szCs w:val="18"/>
            </w:rPr>
            <w:t xml:space="preserve">Page </w:t>
          </w:r>
          <w:r w:rsidRPr="000453AB">
            <w:rPr>
              <w:rFonts w:cs="Arial"/>
              <w:color w:val="999999" w:themeColor="accent2"/>
              <w:sz w:val="18"/>
              <w:szCs w:val="18"/>
            </w:rPr>
            <w:fldChar w:fldCharType="begin"/>
          </w:r>
          <w:r w:rsidRPr="000453AB">
            <w:rPr>
              <w:rFonts w:cs="Arial"/>
              <w:color w:val="999999" w:themeColor="accent2"/>
              <w:sz w:val="18"/>
              <w:szCs w:val="18"/>
            </w:rPr>
            <w:instrText>PAGE</w:instrText>
          </w:r>
          <w:r w:rsidRPr="000453AB">
            <w:rPr>
              <w:rFonts w:cs="Arial"/>
              <w:color w:val="999999" w:themeColor="accent2"/>
              <w:sz w:val="18"/>
              <w:szCs w:val="18"/>
            </w:rPr>
            <w:fldChar w:fldCharType="separate"/>
          </w:r>
          <w:r w:rsidRPr="000453AB">
            <w:rPr>
              <w:rFonts w:cs="Arial"/>
              <w:noProof/>
              <w:color w:val="999999" w:themeColor="accent2"/>
              <w:sz w:val="18"/>
              <w:szCs w:val="18"/>
            </w:rPr>
            <w:t>2</w:t>
          </w:r>
          <w:r w:rsidRPr="000453AB">
            <w:rPr>
              <w:rFonts w:cs="Arial"/>
              <w:color w:val="999999" w:themeColor="accent2"/>
              <w:sz w:val="18"/>
              <w:szCs w:val="18"/>
            </w:rPr>
            <w:fldChar w:fldCharType="end"/>
          </w:r>
        </w:p>
      </w:tc>
      <w:tc>
        <w:tcPr>
          <w:tcW w:w="3207" w:type="dxa"/>
          <w:shd w:val="clear" w:color="auto" w:fill="auto"/>
        </w:tcPr>
        <w:p w14:paraId="3D0835D7" w14:textId="06C14520" w:rsidR="000842A8" w:rsidRDefault="000842A8" w:rsidP="000842A8">
          <w:pPr>
            <w:tabs>
              <w:tab w:val="right" w:pos="9639"/>
            </w:tabs>
            <w:spacing w:before="120" w:after="0" w:line="240" w:lineRule="exact"/>
            <w:jc w:val="right"/>
            <w:rPr>
              <w:rFonts w:asciiTheme="majorHAnsi" w:hAnsiTheme="majorHAnsi" w:cs="Arial"/>
              <w:color w:val="999999" w:themeColor="accent2"/>
              <w:sz w:val="18"/>
              <w:szCs w:val="18"/>
            </w:rPr>
          </w:pPr>
        </w:p>
      </w:tc>
    </w:tr>
  </w:tbl>
  <w:p w14:paraId="2D6D04D5" w14:textId="77777777" w:rsidR="000842A8" w:rsidRDefault="000842A8">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0" w:type="pct"/>
      <w:tblInd w:w="567" w:type="dxa"/>
      <w:tblCellMar>
        <w:left w:w="0" w:type="dxa"/>
        <w:right w:w="0" w:type="dxa"/>
      </w:tblCellMar>
      <w:tblLook w:val="04A0" w:firstRow="1" w:lastRow="0" w:firstColumn="1" w:lastColumn="0" w:noHBand="0" w:noVBand="1"/>
    </w:tblPr>
    <w:tblGrid>
      <w:gridCol w:w="2645"/>
      <w:gridCol w:w="3208"/>
      <w:gridCol w:w="3207"/>
    </w:tblGrid>
    <w:tr w:rsidR="00795E97" w14:paraId="5EBFB97B" w14:textId="77777777">
      <w:tc>
        <w:tcPr>
          <w:tcW w:w="2644" w:type="dxa"/>
          <w:shd w:val="clear" w:color="auto" w:fill="auto"/>
        </w:tcPr>
        <w:p w14:paraId="0634A044" w14:textId="77777777" w:rsidR="00795E97" w:rsidRDefault="00795E97">
          <w:pPr>
            <w:tabs>
              <w:tab w:val="right" w:pos="9639"/>
            </w:tabs>
            <w:spacing w:before="120" w:after="0" w:line="240" w:lineRule="exact"/>
          </w:pPr>
          <w:r>
            <w:rPr>
              <w:noProof/>
              <w:sz w:val="2"/>
              <w:lang w:eastAsia="en-AU"/>
            </w:rPr>
            <w:drawing>
              <wp:anchor distT="0" distB="0" distL="114300" distR="114300" simplePos="0" relativeHeight="251659264" behindDoc="1" locked="0" layoutInCell="1" allowOverlap="1" wp14:anchorId="15E01A97" wp14:editId="5168CCA0">
                <wp:simplePos x="0" y="0"/>
                <wp:positionH relativeFrom="page">
                  <wp:posOffset>-1080135</wp:posOffset>
                </wp:positionH>
                <wp:positionV relativeFrom="paragraph">
                  <wp:posOffset>-14838</wp:posOffset>
                </wp:positionV>
                <wp:extent cx="756031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
                        <a:stretch>
                          <a:fillRect/>
                        </a:stretch>
                      </pic:blipFill>
                      <pic:spPr bwMode="auto">
                        <a:xfrm>
                          <a:off x="0" y="0"/>
                          <a:ext cx="7560310" cy="537845"/>
                        </a:xfrm>
                        <a:prstGeom prst="rect">
                          <a:avLst/>
                        </a:prstGeom>
                      </pic:spPr>
                    </pic:pic>
                  </a:graphicData>
                </a:graphic>
              </wp:anchor>
            </w:drawing>
          </w:r>
          <w:r>
            <w:rPr>
              <w:rFonts w:cs="Arial"/>
              <w:color w:val="FFFFFF" w:themeColor="background1"/>
              <w:sz w:val="18"/>
              <w:szCs w:val="18"/>
            </w:rPr>
            <w:t xml:space="preserve">© </w:t>
          </w:r>
          <w:hyperlink r:id="rId2">
            <w:r>
              <w:rPr>
                <w:rStyle w:val="ListLabel14"/>
              </w:rPr>
              <w:t>VCAA</w:t>
            </w:r>
          </w:hyperlink>
        </w:p>
      </w:tc>
      <w:tc>
        <w:tcPr>
          <w:tcW w:w="3208" w:type="dxa"/>
          <w:shd w:val="clear" w:color="auto" w:fill="auto"/>
        </w:tcPr>
        <w:p w14:paraId="2BF5144A" w14:textId="77777777" w:rsidR="00795E97" w:rsidRDefault="00795E97">
          <w:pPr>
            <w:tabs>
              <w:tab w:val="right" w:pos="9639"/>
            </w:tabs>
            <w:spacing w:before="120" w:after="0" w:line="240" w:lineRule="exact"/>
            <w:rPr>
              <w:rFonts w:asciiTheme="majorHAnsi" w:hAnsiTheme="majorHAnsi" w:cs="Arial"/>
              <w:color w:val="999999" w:themeColor="accent2"/>
              <w:sz w:val="18"/>
              <w:szCs w:val="18"/>
            </w:rPr>
          </w:pPr>
        </w:p>
      </w:tc>
      <w:tc>
        <w:tcPr>
          <w:tcW w:w="3207" w:type="dxa"/>
          <w:shd w:val="clear" w:color="auto" w:fill="auto"/>
        </w:tcPr>
        <w:p w14:paraId="74182E93" w14:textId="5BAF74A4" w:rsidR="00795E97" w:rsidRDefault="00795E97">
          <w:pPr>
            <w:tabs>
              <w:tab w:val="right" w:pos="9639"/>
            </w:tabs>
            <w:spacing w:before="120" w:after="0" w:line="240" w:lineRule="exact"/>
            <w:jc w:val="right"/>
            <w:rPr>
              <w:rFonts w:asciiTheme="majorHAnsi" w:hAnsiTheme="majorHAnsi" w:cs="Arial"/>
              <w:color w:val="999999" w:themeColor="accent2"/>
              <w:sz w:val="18"/>
              <w:szCs w:val="18"/>
            </w:rPr>
          </w:pPr>
          <w:r>
            <w:rPr>
              <w:rFonts w:asciiTheme="majorHAnsi" w:hAnsiTheme="majorHAnsi" w:cs="Arial"/>
              <w:color w:val="999999" w:themeColor="accent2"/>
              <w:sz w:val="18"/>
              <w:szCs w:val="18"/>
            </w:rPr>
            <w:t>Page 2</w:t>
          </w:r>
        </w:p>
      </w:tc>
    </w:tr>
  </w:tbl>
  <w:p w14:paraId="7C3B9C17" w14:textId="77777777" w:rsidR="00795E97" w:rsidRDefault="00795E97">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13B98" w14:textId="77777777" w:rsidR="00A2631F" w:rsidRDefault="00A2631F">
      <w:pPr>
        <w:spacing w:after="0" w:line="240" w:lineRule="auto"/>
      </w:pPr>
      <w:r>
        <w:separator/>
      </w:r>
    </w:p>
  </w:footnote>
  <w:footnote w:type="continuationSeparator" w:id="0">
    <w:p w14:paraId="181FBAD8" w14:textId="77777777" w:rsidR="00A2631F" w:rsidRDefault="00A26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07FF0" w14:textId="77777777" w:rsidR="00711DC3" w:rsidRDefault="00092235">
    <w:pPr>
      <w:spacing w:after="0"/>
      <w:ind w:right="-142"/>
      <w:jc w:val="right"/>
    </w:pPr>
    <w:r>
      <w:rPr>
        <w:noProof/>
        <w:lang w:eastAsia="en-AU"/>
      </w:rPr>
      <w:drawing>
        <wp:anchor distT="0" distB="6985" distL="114300" distR="114300" simplePos="0" relativeHeight="3" behindDoc="1" locked="0" layoutInCell="1" allowOverlap="1" wp14:anchorId="6710EBB1" wp14:editId="0F2ECEF4">
          <wp:simplePos x="0" y="0"/>
          <wp:positionH relativeFrom="column">
            <wp:posOffset>-720090</wp:posOffset>
          </wp:positionH>
          <wp:positionV relativeFrom="page">
            <wp:posOffset>0</wp:posOffset>
          </wp:positionV>
          <wp:extent cx="7560310" cy="71691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7560310" cy="71691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4C92E" w14:textId="7C0BC017" w:rsidR="000842A8" w:rsidRDefault="000842A8">
    <w:pPr>
      <w:spacing w:after="0"/>
      <w:ind w:right="-142"/>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EE478" w14:textId="78E1103F" w:rsidR="00795E97" w:rsidRDefault="00795E97">
    <w:pPr>
      <w:spacing w:after="0"/>
      <w:ind w:right="-142"/>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A1C31"/>
    <w:multiLevelType w:val="multilevel"/>
    <w:tmpl w:val="5168710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1" w15:restartNumberingAfterBreak="0">
    <w:nsid w:val="62872B6C"/>
    <w:multiLevelType w:val="hybridMultilevel"/>
    <w:tmpl w:val="FECA2744"/>
    <w:lvl w:ilvl="0" w:tplc="D1843116">
      <w:start w:val="1"/>
      <w:numFmt w:val="bullet"/>
      <w:lvlText w:val=""/>
      <w:lvlJc w:val="left"/>
      <w:pPr>
        <w:ind w:left="5748" w:hanging="360"/>
      </w:pPr>
      <w:rPr>
        <w:rFonts w:ascii="Symbol" w:hAnsi="Symbol" w:hint="default"/>
        <w:color w:val="auto"/>
      </w:rPr>
    </w:lvl>
    <w:lvl w:ilvl="1" w:tplc="0C090003">
      <w:start w:val="1"/>
      <w:numFmt w:val="bullet"/>
      <w:lvlText w:val="o"/>
      <w:lvlJc w:val="left"/>
      <w:pPr>
        <w:ind w:left="6468" w:hanging="360"/>
      </w:pPr>
      <w:rPr>
        <w:rFonts w:ascii="Courier New" w:hAnsi="Courier New" w:cs="Courier New" w:hint="default"/>
      </w:rPr>
    </w:lvl>
    <w:lvl w:ilvl="2" w:tplc="0C090005">
      <w:start w:val="1"/>
      <w:numFmt w:val="bullet"/>
      <w:lvlText w:val=""/>
      <w:lvlJc w:val="left"/>
      <w:pPr>
        <w:ind w:left="7188" w:hanging="360"/>
      </w:pPr>
      <w:rPr>
        <w:rFonts w:ascii="Wingdings" w:hAnsi="Wingdings" w:hint="default"/>
      </w:rPr>
    </w:lvl>
    <w:lvl w:ilvl="3" w:tplc="0C090001">
      <w:start w:val="1"/>
      <w:numFmt w:val="bullet"/>
      <w:lvlText w:val=""/>
      <w:lvlJc w:val="left"/>
      <w:pPr>
        <w:ind w:left="7908" w:hanging="360"/>
      </w:pPr>
      <w:rPr>
        <w:rFonts w:ascii="Symbol" w:hAnsi="Symbol" w:hint="default"/>
      </w:rPr>
    </w:lvl>
    <w:lvl w:ilvl="4" w:tplc="0C090003">
      <w:start w:val="1"/>
      <w:numFmt w:val="bullet"/>
      <w:lvlText w:val="o"/>
      <w:lvlJc w:val="left"/>
      <w:pPr>
        <w:ind w:left="8628" w:hanging="360"/>
      </w:pPr>
      <w:rPr>
        <w:rFonts w:ascii="Courier New" w:hAnsi="Courier New" w:cs="Courier New" w:hint="default"/>
      </w:rPr>
    </w:lvl>
    <w:lvl w:ilvl="5" w:tplc="0C090005">
      <w:start w:val="1"/>
      <w:numFmt w:val="bullet"/>
      <w:lvlText w:val=""/>
      <w:lvlJc w:val="left"/>
      <w:pPr>
        <w:ind w:left="9348" w:hanging="360"/>
      </w:pPr>
      <w:rPr>
        <w:rFonts w:ascii="Wingdings" w:hAnsi="Wingdings" w:hint="default"/>
      </w:rPr>
    </w:lvl>
    <w:lvl w:ilvl="6" w:tplc="0C090001">
      <w:start w:val="1"/>
      <w:numFmt w:val="bullet"/>
      <w:lvlText w:val=""/>
      <w:lvlJc w:val="left"/>
      <w:pPr>
        <w:ind w:left="10068" w:hanging="360"/>
      </w:pPr>
      <w:rPr>
        <w:rFonts w:ascii="Symbol" w:hAnsi="Symbol" w:hint="default"/>
      </w:rPr>
    </w:lvl>
    <w:lvl w:ilvl="7" w:tplc="0C090003">
      <w:start w:val="1"/>
      <w:numFmt w:val="bullet"/>
      <w:lvlText w:val="o"/>
      <w:lvlJc w:val="left"/>
      <w:pPr>
        <w:ind w:left="10788" w:hanging="360"/>
      </w:pPr>
      <w:rPr>
        <w:rFonts w:ascii="Courier New" w:hAnsi="Courier New" w:cs="Courier New" w:hint="default"/>
      </w:rPr>
    </w:lvl>
    <w:lvl w:ilvl="8" w:tplc="0C090005">
      <w:start w:val="1"/>
      <w:numFmt w:val="bullet"/>
      <w:lvlText w:val=""/>
      <w:lvlJc w:val="left"/>
      <w:pPr>
        <w:ind w:left="11508" w:hanging="360"/>
      </w:pPr>
      <w:rPr>
        <w:rFonts w:ascii="Wingdings" w:hAnsi="Wingdings" w:hint="default"/>
      </w:rPr>
    </w:lvl>
  </w:abstractNum>
  <w:abstractNum w:abstractNumId="2" w15:restartNumberingAfterBreak="0">
    <w:nsid w:val="6ED93E92"/>
    <w:multiLevelType w:val="multilevel"/>
    <w:tmpl w:val="5D5053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DC3"/>
    <w:rsid w:val="000842A8"/>
    <w:rsid w:val="00092235"/>
    <w:rsid w:val="001A4338"/>
    <w:rsid w:val="00247337"/>
    <w:rsid w:val="002F2578"/>
    <w:rsid w:val="00664610"/>
    <w:rsid w:val="00711DC3"/>
    <w:rsid w:val="00790FEE"/>
    <w:rsid w:val="00795E97"/>
    <w:rsid w:val="007C2FC7"/>
    <w:rsid w:val="007F1193"/>
    <w:rsid w:val="00A2631F"/>
    <w:rsid w:val="00C1247C"/>
    <w:rsid w:val="00C43594"/>
    <w:rsid w:val="00D61C56"/>
    <w:rsid w:val="00DB64BE"/>
    <w:rsid w:val="00EC00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75A06"/>
  <w15:docId w15:val="{F467D0AC-240F-4321-8C86-DD299EB2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39C"/>
    <w:pPr>
      <w:spacing w:after="160" w:line="259" w:lineRule="auto"/>
    </w:pPr>
    <w:rPr>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9370BC"/>
  </w:style>
  <w:style w:type="character" w:customStyle="1" w:styleId="FooterChar">
    <w:name w:val="Footer Char"/>
    <w:basedOn w:val="DefaultParagraphFont"/>
    <w:link w:val="Footer"/>
    <w:uiPriority w:val="99"/>
    <w:semiHidden/>
    <w:qFormat/>
    <w:rsid w:val="009370BC"/>
  </w:style>
  <w:style w:type="character" w:customStyle="1" w:styleId="BalloonTextChar">
    <w:name w:val="Balloon Text Char"/>
    <w:basedOn w:val="DefaultParagraphFont"/>
    <w:link w:val="BalloonText"/>
    <w:uiPriority w:val="99"/>
    <w:semiHidden/>
    <w:qFormat/>
    <w:rsid w:val="00304EA1"/>
    <w:rPr>
      <w:rFonts w:ascii="Tahoma" w:hAnsi="Tahoma" w:cs="Tahoma"/>
      <w:sz w:val="16"/>
      <w:szCs w:val="16"/>
    </w:rPr>
  </w:style>
  <w:style w:type="character" w:styleId="PlaceholderText">
    <w:name w:val="Placeholder Text"/>
    <w:basedOn w:val="DefaultParagraphFont"/>
    <w:uiPriority w:val="99"/>
    <w:semiHidden/>
    <w:qFormat/>
    <w:rsid w:val="0028516B"/>
    <w:rPr>
      <w:color w:val="808080"/>
    </w:rPr>
  </w:style>
  <w:style w:type="character" w:customStyle="1" w:styleId="InternetLink">
    <w:name w:val="Internet Link"/>
    <w:basedOn w:val="DefaultParagraphFont"/>
    <w:uiPriority w:val="99"/>
    <w:unhideWhenUsed/>
    <w:rsid w:val="000F09E4"/>
    <w:rPr>
      <w:color w:val="0000FF" w:themeColor="hyperlink"/>
      <w:u w:val="single"/>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qFormat/>
    <w:rsid w:val="00425DFE"/>
    <w:rPr>
      <w:rFonts w:ascii="Arial" w:hAnsi="Arial" w:cs="Arial"/>
      <w:color w:val="000000" w:themeColor="text1"/>
      <w:sz w:val="20"/>
    </w:rPr>
  </w:style>
  <w:style w:type="character" w:customStyle="1" w:styleId="QuoteChar">
    <w:name w:val="Quote Char"/>
    <w:basedOn w:val="DefaultParagraphFont"/>
    <w:link w:val="Quote"/>
    <w:uiPriority w:val="29"/>
    <w:qFormat/>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qFormat/>
    <w:rsid w:val="009D0E9E"/>
    <w:rPr>
      <w:sz w:val="16"/>
      <w:szCs w:val="16"/>
    </w:rPr>
  </w:style>
  <w:style w:type="character" w:customStyle="1" w:styleId="CommentTextChar">
    <w:name w:val="Comment Text Char"/>
    <w:basedOn w:val="DefaultParagraphFont"/>
    <w:link w:val="CommentText"/>
    <w:uiPriority w:val="99"/>
    <w:qFormat/>
    <w:rsid w:val="009D0E9E"/>
    <w:rPr>
      <w:sz w:val="20"/>
      <w:szCs w:val="20"/>
    </w:rPr>
  </w:style>
  <w:style w:type="character" w:customStyle="1" w:styleId="CommentSubjectChar">
    <w:name w:val="Comment Subject Char"/>
    <w:basedOn w:val="CommentTextChar"/>
    <w:link w:val="CommentSubject"/>
    <w:uiPriority w:val="99"/>
    <w:semiHidden/>
    <w:qFormat/>
    <w:rsid w:val="009D0E9E"/>
    <w:rPr>
      <w:b/>
      <w:bCs/>
      <w:sz w:val="20"/>
      <w:szCs w:val="20"/>
    </w:rPr>
  </w:style>
  <w:style w:type="character" w:customStyle="1" w:styleId="VCAAitalics">
    <w:name w:val="VCAA italics"/>
    <w:uiPriority w:val="1"/>
    <w:qFormat/>
    <w:rsid w:val="00521833"/>
    <w:rPr>
      <w:i/>
      <w:iCs/>
    </w:rPr>
  </w:style>
  <w:style w:type="character" w:customStyle="1" w:styleId="VCAAbold">
    <w:name w:val="VCAA bold"/>
    <w:uiPriority w:val="1"/>
    <w:qFormat/>
    <w:rsid w:val="00CA439C"/>
    <w:rPr>
      <w:b/>
      <w:bCs/>
    </w:rPr>
  </w:style>
  <w:style w:type="character" w:styleId="FollowedHyperlink">
    <w:name w:val="FollowedHyperlink"/>
    <w:basedOn w:val="DefaultParagraphFont"/>
    <w:uiPriority w:val="99"/>
    <w:semiHidden/>
    <w:unhideWhenUsed/>
    <w:qFormat/>
    <w:rsid w:val="00CF2215"/>
    <w:rPr>
      <w:color w:val="8DB3E2" w:themeColor="followedHyperlink"/>
      <w:u w:val="single"/>
    </w:rPr>
  </w:style>
  <w:style w:type="character" w:customStyle="1" w:styleId="UnresolvedMention1">
    <w:name w:val="Unresolved Mention1"/>
    <w:basedOn w:val="DefaultParagraphFont"/>
    <w:uiPriority w:val="99"/>
    <w:semiHidden/>
    <w:unhideWhenUsed/>
    <w:qFormat/>
    <w:rsid w:val="00CF2215"/>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style>
  <w:style w:type="character" w:customStyle="1" w:styleId="ListLabel14">
    <w:name w:val="ListLabel 14"/>
    <w:qFormat/>
    <w:rPr>
      <w:rFonts w:asciiTheme="majorHAnsi" w:hAnsiTheme="majorHAnsi" w:cs="Arial"/>
      <w:color w:val="FFFFFF" w:themeColor="background1"/>
      <w:sz w:val="18"/>
      <w:szCs w:val="18"/>
      <w:u w:val="single"/>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style>
  <w:style w:type="character" w:customStyle="1" w:styleId="ListLabel25">
    <w:name w:val="ListLabel 25"/>
    <w:qFormat/>
    <w:rPr>
      <w:rFonts w:cs="Arial"/>
      <w:color w:val="FFFFFF" w:themeColor="background1"/>
      <w:sz w:val="18"/>
      <w:szCs w:val="18"/>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304EA1"/>
    <w:pPr>
      <w:spacing w:after="0" w:line="240" w:lineRule="auto"/>
    </w:pPr>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eastAsia="Arial" w:hAnsi="Arial" w:cs="Arial"/>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eastAsia="Arial" w:hAnsi="Arial" w:cs="Arial"/>
      <w:color w:val="0F7EB4"/>
      <w:sz w:val="48"/>
      <w:szCs w:val="40"/>
    </w:rPr>
  </w:style>
  <w:style w:type="paragraph" w:customStyle="1" w:styleId="VCAAHeading2">
    <w:name w:val="VCAA Heading 2"/>
    <w:qFormat/>
    <w:rsid w:val="00DE1909"/>
    <w:pPr>
      <w:spacing w:before="400" w:after="120" w:line="480" w:lineRule="exact"/>
      <w:contextualSpacing/>
      <w:outlineLvl w:val="2"/>
    </w:pPr>
    <w:rPr>
      <w:rFonts w:ascii="Arial" w:eastAsia="Arial" w:hAnsi="Arial" w:cs="Arial"/>
      <w:color w:val="0F7EB4"/>
      <w:sz w:val="40"/>
      <w:szCs w:val="28"/>
    </w:rPr>
  </w:style>
  <w:style w:type="paragraph" w:customStyle="1" w:styleId="VCAAHeading3">
    <w:name w:val="VCAA Heading 3"/>
    <w:qFormat/>
    <w:rsid w:val="00DE1909"/>
    <w:pPr>
      <w:spacing w:before="320" w:after="120" w:line="400" w:lineRule="exact"/>
      <w:outlineLvl w:val="3"/>
    </w:pPr>
    <w:rPr>
      <w:rFonts w:ascii="Arial" w:eastAsia="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eastAsia="Arial" w:hAnsi="Arial" w:cs="Arial"/>
      <w:color w:val="000000" w:themeColor="text1"/>
    </w:rPr>
  </w:style>
  <w:style w:type="paragraph" w:customStyle="1" w:styleId="VCAAtablecondensed">
    <w:name w:val="VCAA table condensed"/>
    <w:qFormat/>
    <w:rsid w:val="00495C80"/>
    <w:pPr>
      <w:spacing w:before="80" w:after="80" w:line="280" w:lineRule="exact"/>
    </w:pPr>
    <w:rPr>
      <w:rFonts w:ascii="Arial Narrow" w:hAnsi="Arial Narrow" w:cs="Arial"/>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tabs>
        <w:tab w:val="left" w:pos="425"/>
      </w:tabs>
      <w:spacing w:before="60" w:after="60"/>
      <w:ind w:left="425" w:hanging="425"/>
      <w:contextualSpacing/>
    </w:pPr>
    <w:rPr>
      <w:rFonts w:eastAsia="Times New Roman"/>
      <w:kern w:val="2"/>
      <w:lang w:val="en-GB" w:eastAsia="ja-JP"/>
    </w:rPr>
  </w:style>
  <w:style w:type="paragraph" w:customStyle="1" w:styleId="VCAAbulletlevel2">
    <w:name w:val="VCAA bullet level 2"/>
    <w:basedOn w:val="VCAAbullet"/>
    <w:qFormat/>
    <w:rsid w:val="00DE51DB"/>
    <w:pPr>
      <w:ind w:left="850"/>
    </w:pPr>
  </w:style>
  <w:style w:type="paragraph" w:customStyle="1" w:styleId="VCAAnumbers">
    <w:name w:val="VCAA numbers"/>
    <w:basedOn w:val="VCAAbullet"/>
    <w:qFormat/>
    <w:rsid w:val="0035293F"/>
    <w:rPr>
      <w:lang w:val="en-US"/>
    </w:rPr>
  </w:style>
  <w:style w:type="paragraph" w:customStyle="1" w:styleId="VCAAtablecondensedbullet">
    <w:name w:val="VCAA table condensed bullet"/>
    <w:basedOn w:val="Normal"/>
    <w:qFormat/>
    <w:rsid w:val="00495C80"/>
    <w:pPr>
      <w:tabs>
        <w:tab w:val="left" w:pos="425"/>
      </w:tabs>
      <w:overflowPunct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qFormat/>
    <w:rsid w:val="00DE1909"/>
    <w:pPr>
      <w:spacing w:before="280" w:after="120" w:line="360" w:lineRule="exact"/>
      <w:outlineLvl w:val="4"/>
    </w:pPr>
    <w:rPr>
      <w:rFonts w:ascii="Arial" w:eastAsia="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qFormat/>
    <w:rsid w:val="00DE1909"/>
    <w:pPr>
      <w:spacing w:before="240" w:after="120" w:line="320" w:lineRule="exact"/>
      <w:outlineLvl w:val="5"/>
    </w:pPr>
    <w:rPr>
      <w:rFonts w:ascii="Arial" w:eastAsia="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paragraph" w:customStyle="1" w:styleId="VCAAtablecondensedbullet2">
    <w:name w:val="VCAA table condensed bullet 2"/>
    <w:basedOn w:val="VCAAtablecondensedbullet"/>
    <w:qFormat/>
    <w:rsid w:val="00495C80"/>
    <w:pPr>
      <w:ind w:left="850"/>
    </w:pPr>
    <w:rPr>
      <w:color w:val="000000" w:themeColor="text1"/>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260767"/>
    <w:pPr>
      <w:jc w:val="center"/>
      <w:outlineLvl w:val="1"/>
    </w:pPr>
    <w:rPr>
      <w:rFonts w:ascii="Arial" w:hAnsi="Arial" w:cs="Arial"/>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rPr>
  </w:style>
  <w:style w:type="paragraph" w:styleId="CommentText">
    <w:name w:val="annotation text"/>
    <w:basedOn w:val="Normal"/>
    <w:link w:val="CommentTextChar"/>
    <w:uiPriority w:val="99"/>
    <w:unhideWhenUsed/>
    <w:qFormat/>
    <w:rsid w:val="009D0E9E"/>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9D0E9E"/>
    <w:rPr>
      <w:b/>
      <w:bCs/>
    </w:rPr>
  </w:style>
  <w:style w:type="paragraph" w:styleId="NoSpacing">
    <w:name w:val="No Spacing"/>
    <w:uiPriority w:val="1"/>
    <w:qFormat/>
    <w:rsid w:val="00DC4E78"/>
    <w:rPr>
      <w:sz w:val="22"/>
      <w:lang w:val="en-AU"/>
    </w:rPr>
  </w:style>
  <w:style w:type="paragraph" w:styleId="Revision">
    <w:name w:val="Revision"/>
    <w:uiPriority w:val="99"/>
    <w:semiHidden/>
    <w:qFormat/>
    <w:rsid w:val="00584F3C"/>
    <w:rPr>
      <w:sz w:val="22"/>
      <w:lang w:val="en-AU"/>
    </w:rPr>
  </w:style>
  <w:style w:type="table" w:styleId="TableGrid">
    <w:name w:val="Table Grid"/>
    <w:basedOn w:val="TableNormal"/>
    <w:uiPriority w:val="39"/>
    <w:rsid w:val="0031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16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pPr>
    <w:rPr>
      <w:color w:val="000000" w:themeColor="text1"/>
    </w:rPr>
    <w:tblPr>
      <w:tblBorders>
        <w:insideH w:val="single" w:sz="4" w:space="0" w:color="auto"/>
      </w:tblBorders>
    </w:tbl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DB64BE"/>
    <w:rPr>
      <w:color w:val="0000FF" w:themeColor="hyperlink"/>
      <w:u w:val="single"/>
    </w:rPr>
  </w:style>
  <w:style w:type="character" w:styleId="UnresolvedMention">
    <w:name w:val="Unresolved Mention"/>
    <w:basedOn w:val="DefaultParagraphFont"/>
    <w:uiPriority w:val="99"/>
    <w:semiHidden/>
    <w:unhideWhenUsed/>
    <w:rsid w:val="00DB6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assessment/vce-assessment/past-examinations/Pages/RevisedSecondLanguageOralExaminationVideos.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ssessment/vce-assessment/past-examinations/Pages/Greek.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www.vcaa.vic.edu.au/Footer/Pages/Copyright.aspx"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s://www.vcaa.vic.edu.au/Footer/Pages/Copyright.aspx" TargetMode="External"/><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hyperlink" Target="https://www.vcaa.vic.edu.au/Footer/Pages/Copyright.aspx"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6B64B9-6D46-4FF9-84F7-42931E5AE144}">
  <ds:schemaRefs>
    <ds:schemaRef ds:uri="http://schemas.openxmlformats.org/officeDocument/2006/bibliography"/>
  </ds:schemaRefs>
</ds:datastoreItem>
</file>

<file path=customXml/itemProps2.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356F4A3D-CB16-4250-BA3B-20E0CF5E7E0F}"/>
</file>

<file path=docProps/app.xml><?xml version="1.0" encoding="utf-8"?>
<Properties xmlns="http://schemas.openxmlformats.org/officeDocument/2006/extended-properties" xmlns:vt="http://schemas.openxmlformats.org/officeDocument/2006/docPropsVTypes">
  <Template>Normal.dotm</Template>
  <TotalTime>4</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Template oral examination report-2020</vt:lpstr>
    </vt:vector>
  </TitlesOfParts>
  <Company>Victorian Curriculum and Assessment Authority</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Greek oral examination report</dc:title>
  <dc:subject/>
  <dc:creator>vcaa@education.vic.gov.au</dc:creator>
  <cp:keywords>VCE; Victorian Certificate of Education; 2020; Greek; examination report; VCAA; Victorian Curriculum and Assessment Authority</cp:keywords>
  <dc:description/>
  <cp:lastModifiedBy>Samantha Anderson 2</cp:lastModifiedBy>
  <cp:revision>5</cp:revision>
  <cp:lastPrinted>2015-05-15T02:36:00Z</cp:lastPrinted>
  <dcterms:created xsi:type="dcterms:W3CDTF">2021-04-29T06:56:00Z</dcterms:created>
  <dcterms:modified xsi:type="dcterms:W3CDTF">2021-05-03T05:50:00Z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Victorian Curriculum and Assessment Authority</vt:lpwstr>
  </property>
  <property fmtid="{D5CDD505-2E9C-101B-9397-08002B2CF9AE}" pid="4" name="ContentTypeId">
    <vt:lpwstr>0x0101008840106FE30D4F50BC61A726A7CA6E3800C6AB3851F4F88F40B98871D148B8EC2C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