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43326E3" w:rsidR="00F4525C" w:rsidRPr="00A57F4B" w:rsidRDefault="00024018" w:rsidP="009B61E5">
      <w:pPr>
        <w:pStyle w:val="VCAADocumenttitle"/>
        <w:rPr>
          <w:noProof w:val="0"/>
        </w:rPr>
      </w:pPr>
      <w:r w:rsidRPr="00A57F4B">
        <w:rPr>
          <w:noProof w:val="0"/>
        </w:rPr>
        <w:t>202</w:t>
      </w:r>
      <w:r w:rsidR="00F1508A" w:rsidRPr="00A57F4B">
        <w:rPr>
          <w:noProof w:val="0"/>
        </w:rPr>
        <w:t>2</w:t>
      </w:r>
      <w:r w:rsidRPr="00A57F4B">
        <w:rPr>
          <w:noProof w:val="0"/>
        </w:rPr>
        <w:t xml:space="preserve"> </w:t>
      </w:r>
      <w:r w:rsidR="009403B9" w:rsidRPr="00A57F4B">
        <w:rPr>
          <w:noProof w:val="0"/>
        </w:rPr>
        <w:t>VCE</w:t>
      </w:r>
      <w:r w:rsidR="00BB64D5" w:rsidRPr="00A57F4B">
        <w:rPr>
          <w:noProof w:val="0"/>
        </w:rPr>
        <w:t xml:space="preserve"> Australian History</w:t>
      </w:r>
      <w:r w:rsidRPr="00A57F4B">
        <w:rPr>
          <w:noProof w:val="0"/>
        </w:rPr>
        <w:t xml:space="preserve"> </w:t>
      </w:r>
      <w:r w:rsidR="00F1508A" w:rsidRPr="00A57F4B">
        <w:rPr>
          <w:noProof w:val="0"/>
        </w:rPr>
        <w:t>external assessment</w:t>
      </w:r>
      <w:r w:rsidRPr="00A57F4B">
        <w:rPr>
          <w:noProof w:val="0"/>
        </w:rPr>
        <w:t xml:space="preserve"> report</w:t>
      </w:r>
    </w:p>
    <w:p w14:paraId="1F902DD4" w14:textId="350D8636" w:rsidR="006663C6" w:rsidRPr="00A57F4B" w:rsidRDefault="00024018" w:rsidP="00C35203">
      <w:pPr>
        <w:pStyle w:val="VCAAHeading1"/>
        <w:rPr>
          <w:lang w:val="en-AU"/>
        </w:rPr>
      </w:pPr>
      <w:bookmarkStart w:id="0" w:name="TemplateOverview"/>
      <w:bookmarkEnd w:id="0"/>
      <w:r w:rsidRPr="00A57F4B">
        <w:rPr>
          <w:lang w:val="en-AU"/>
        </w:rPr>
        <w:t>General comments</w:t>
      </w:r>
    </w:p>
    <w:p w14:paraId="05803EC3" w14:textId="167A0843" w:rsidR="00B44DF9" w:rsidRPr="00A57F4B" w:rsidRDefault="00B44DF9" w:rsidP="007A0866">
      <w:pPr>
        <w:pStyle w:val="VCAAbody"/>
        <w:rPr>
          <w:b/>
          <w:i/>
          <w:lang w:val="en-AU"/>
        </w:rPr>
      </w:pPr>
      <w:r w:rsidRPr="00A57F4B">
        <w:rPr>
          <w:lang w:val="en-AU"/>
        </w:rPr>
        <w:t xml:space="preserve">The 2022 Australian History examination assessed student achievement in the key knowledge and skills indicated in the </w:t>
      </w:r>
      <w:r w:rsidRPr="00A57F4B">
        <w:rPr>
          <w:i/>
          <w:iCs/>
          <w:lang w:val="en-AU"/>
        </w:rPr>
        <w:t>VCE History Study Design 2022–2026: Australian History</w:t>
      </w:r>
      <w:r w:rsidRPr="00A57F4B">
        <w:rPr>
          <w:lang w:val="en-AU"/>
        </w:rPr>
        <w:t xml:space="preserve">. The examination </w:t>
      </w:r>
      <w:r w:rsidR="00503D62" w:rsidRPr="00A57F4B">
        <w:rPr>
          <w:lang w:val="en-AU"/>
        </w:rPr>
        <w:t xml:space="preserve">structure </w:t>
      </w:r>
      <w:r w:rsidRPr="00A57F4B">
        <w:rPr>
          <w:lang w:val="en-AU"/>
        </w:rPr>
        <w:t>was new in 2022, consisting of two sections. Students were asked to respon</w:t>
      </w:r>
      <w:r w:rsidR="00BD424D" w:rsidRPr="00A57F4B">
        <w:rPr>
          <w:lang w:val="en-AU"/>
        </w:rPr>
        <w:t>d</w:t>
      </w:r>
      <w:r w:rsidRPr="00A57F4B">
        <w:rPr>
          <w:lang w:val="en-AU"/>
        </w:rPr>
        <w:t xml:space="preserve"> to two questions in Section A and one question in Section B.</w:t>
      </w:r>
    </w:p>
    <w:p w14:paraId="0505C401" w14:textId="54E226C4" w:rsidR="00B44DF9" w:rsidRPr="00A57F4B" w:rsidRDefault="00B44DF9" w:rsidP="007A0866">
      <w:pPr>
        <w:pStyle w:val="VCAAbody"/>
        <w:rPr>
          <w:b/>
          <w:i/>
          <w:lang w:val="en-AU"/>
        </w:rPr>
      </w:pPr>
      <w:r w:rsidRPr="00A57F4B">
        <w:rPr>
          <w:lang w:val="en-AU"/>
        </w:rPr>
        <w:t>The number of marks available for students was reduced from 80 in p</w:t>
      </w:r>
      <w:r w:rsidR="0033226B" w:rsidRPr="00A57F4B">
        <w:rPr>
          <w:lang w:val="en-AU"/>
        </w:rPr>
        <w:t>revious years</w:t>
      </w:r>
      <w:r w:rsidR="00503D62" w:rsidRPr="00A57F4B">
        <w:rPr>
          <w:lang w:val="en-AU"/>
        </w:rPr>
        <w:t xml:space="preserve"> to </w:t>
      </w:r>
      <w:r w:rsidRPr="00A57F4B">
        <w:rPr>
          <w:lang w:val="en-AU"/>
        </w:rPr>
        <w:t>70 in 2022</w:t>
      </w:r>
      <w:r w:rsidR="00A57F4B">
        <w:rPr>
          <w:lang w:val="en-AU"/>
        </w:rPr>
        <w:t>,</w:t>
      </w:r>
      <w:r w:rsidRPr="00A57F4B">
        <w:rPr>
          <w:lang w:val="en-AU"/>
        </w:rPr>
        <w:t xml:space="preserve"> and this seems to have been a positive change for students.</w:t>
      </w:r>
      <w:r w:rsidR="00CC564A" w:rsidRPr="00A57F4B">
        <w:rPr>
          <w:lang w:val="en-AU"/>
        </w:rPr>
        <w:t xml:space="preserve"> </w:t>
      </w:r>
      <w:r w:rsidRPr="00A57F4B">
        <w:rPr>
          <w:lang w:val="en-AU"/>
        </w:rPr>
        <w:t xml:space="preserve">Most students who managed their time effectively were able to attempt all relevant questions within the </w:t>
      </w:r>
      <w:r w:rsidR="0036222A" w:rsidRPr="00A57F4B">
        <w:rPr>
          <w:lang w:val="en-AU"/>
        </w:rPr>
        <w:t>two</w:t>
      </w:r>
      <w:r w:rsidRPr="00A57F4B">
        <w:rPr>
          <w:lang w:val="en-AU"/>
        </w:rPr>
        <w:t xml:space="preserve"> hours of writing time.</w:t>
      </w:r>
      <w:r w:rsidR="00CC564A" w:rsidRPr="00A57F4B">
        <w:rPr>
          <w:lang w:val="en-AU"/>
        </w:rPr>
        <w:t xml:space="preserve"> </w:t>
      </w:r>
      <w:r w:rsidRPr="00A57F4B">
        <w:rPr>
          <w:lang w:val="en-AU"/>
        </w:rPr>
        <w:t xml:space="preserve">Given the challenges of studying a new curriculum, students </w:t>
      </w:r>
      <w:r w:rsidR="0036222A" w:rsidRPr="00A57F4B">
        <w:rPr>
          <w:lang w:val="en-AU"/>
        </w:rPr>
        <w:t xml:space="preserve">demonstrated a thorough knowledge </w:t>
      </w:r>
      <w:r w:rsidRPr="00A57F4B">
        <w:rPr>
          <w:lang w:val="en-AU"/>
        </w:rPr>
        <w:t>of Australian History. However, there w</w:t>
      </w:r>
      <w:r w:rsidR="00590722" w:rsidRPr="00A57F4B">
        <w:rPr>
          <w:lang w:val="en-AU"/>
        </w:rPr>
        <w:t>ere a</w:t>
      </w:r>
      <w:r w:rsidRPr="00A57F4B">
        <w:rPr>
          <w:lang w:val="en-AU"/>
        </w:rPr>
        <w:t xml:space="preserve"> number of students who attempted more than two questions in Section A</w:t>
      </w:r>
      <w:r w:rsidR="006C5CE0" w:rsidRPr="00A57F4B">
        <w:rPr>
          <w:lang w:val="en-AU"/>
        </w:rPr>
        <w:t xml:space="preserve"> when only </w:t>
      </w:r>
      <w:r w:rsidRPr="00A57F4B">
        <w:rPr>
          <w:lang w:val="en-AU"/>
        </w:rPr>
        <w:t>two of the four questions</w:t>
      </w:r>
      <w:r w:rsidR="00FA065A" w:rsidRPr="00A57F4B">
        <w:rPr>
          <w:lang w:val="en-AU"/>
        </w:rPr>
        <w:t xml:space="preserve"> should</w:t>
      </w:r>
      <w:r w:rsidRPr="00A57F4B">
        <w:rPr>
          <w:lang w:val="en-AU"/>
        </w:rPr>
        <w:t xml:space="preserve"> be attempted</w:t>
      </w:r>
      <w:r w:rsidR="006C5CE0" w:rsidRPr="00A57F4B">
        <w:rPr>
          <w:lang w:val="en-AU"/>
        </w:rPr>
        <w:t>. S</w:t>
      </w:r>
      <w:r w:rsidRPr="00A57F4B">
        <w:rPr>
          <w:lang w:val="en-AU"/>
        </w:rPr>
        <w:t>tudents</w:t>
      </w:r>
      <w:r w:rsidR="00FA065A" w:rsidRPr="00A57F4B">
        <w:rPr>
          <w:lang w:val="en-AU"/>
        </w:rPr>
        <w:t xml:space="preserve"> are </w:t>
      </w:r>
      <w:r w:rsidR="006C5CE0" w:rsidRPr="00A57F4B">
        <w:rPr>
          <w:lang w:val="en-AU"/>
        </w:rPr>
        <w:t xml:space="preserve">therefore </w:t>
      </w:r>
      <w:r w:rsidR="00FA065A" w:rsidRPr="00A57F4B">
        <w:rPr>
          <w:lang w:val="en-AU"/>
        </w:rPr>
        <w:t>reminded to</w:t>
      </w:r>
      <w:r w:rsidRPr="00A57F4B">
        <w:rPr>
          <w:lang w:val="en-AU"/>
        </w:rPr>
        <w:t xml:space="preserve"> read all instructions carefully.</w:t>
      </w:r>
      <w:r w:rsidR="00CC564A" w:rsidRPr="00A57F4B">
        <w:rPr>
          <w:lang w:val="en-AU"/>
        </w:rPr>
        <w:t xml:space="preserve"> </w:t>
      </w:r>
      <w:r w:rsidR="00B77C7F" w:rsidRPr="00A57F4B">
        <w:rPr>
          <w:lang w:val="en-AU"/>
        </w:rPr>
        <w:t xml:space="preserve">Furthermore, many questions </w:t>
      </w:r>
      <w:r w:rsidR="000D366A" w:rsidRPr="00A57F4B">
        <w:rPr>
          <w:lang w:val="en-AU"/>
        </w:rPr>
        <w:t xml:space="preserve">contained </w:t>
      </w:r>
      <w:r w:rsidR="00B77C7F" w:rsidRPr="00A57F4B">
        <w:rPr>
          <w:lang w:val="en-AU"/>
        </w:rPr>
        <w:t>more than one instruction.</w:t>
      </w:r>
      <w:r w:rsidR="00CC564A" w:rsidRPr="00A57F4B">
        <w:rPr>
          <w:lang w:val="en-AU"/>
        </w:rPr>
        <w:t xml:space="preserve"> </w:t>
      </w:r>
      <w:r w:rsidR="00B77C7F" w:rsidRPr="00A57F4B">
        <w:rPr>
          <w:lang w:val="en-AU"/>
        </w:rPr>
        <w:t>Some questions required the students to use one or two of the source</w:t>
      </w:r>
      <w:r w:rsidR="00E5504A" w:rsidRPr="00A57F4B">
        <w:rPr>
          <w:lang w:val="en-AU"/>
        </w:rPr>
        <w:t>s</w:t>
      </w:r>
      <w:r w:rsidR="00B77C7F" w:rsidRPr="00A57F4B">
        <w:rPr>
          <w:lang w:val="en-AU"/>
        </w:rPr>
        <w:t xml:space="preserve"> provided, and then to identify or analyse impacts on a range of different groups.</w:t>
      </w:r>
      <w:r w:rsidR="00CC564A" w:rsidRPr="00A57F4B">
        <w:rPr>
          <w:lang w:val="en-AU"/>
        </w:rPr>
        <w:t xml:space="preserve"> </w:t>
      </w:r>
      <w:r w:rsidR="00B77C7F" w:rsidRPr="00A57F4B">
        <w:rPr>
          <w:lang w:val="en-AU"/>
        </w:rPr>
        <w:t xml:space="preserve">Such questions require students to pay close attention to each instruction </w:t>
      </w:r>
      <w:r w:rsidR="00D46EB4" w:rsidRPr="00A57F4B">
        <w:rPr>
          <w:lang w:val="en-AU"/>
        </w:rPr>
        <w:t>so</w:t>
      </w:r>
      <w:r w:rsidR="00B77C7F" w:rsidRPr="00A57F4B">
        <w:rPr>
          <w:lang w:val="en-AU"/>
        </w:rPr>
        <w:t xml:space="preserve"> their responses adequately</w:t>
      </w:r>
      <w:r w:rsidR="007248EB" w:rsidRPr="00A57F4B">
        <w:rPr>
          <w:lang w:val="en-AU"/>
        </w:rPr>
        <w:t xml:space="preserve"> and</w:t>
      </w:r>
      <w:r w:rsidR="00B77C7F" w:rsidRPr="00A57F4B">
        <w:rPr>
          <w:lang w:val="en-AU"/>
        </w:rPr>
        <w:t xml:space="preserve"> concisely address each part of </w:t>
      </w:r>
      <w:r w:rsidR="007248EB" w:rsidRPr="00A57F4B">
        <w:rPr>
          <w:lang w:val="en-AU"/>
        </w:rPr>
        <w:t>the question</w:t>
      </w:r>
      <w:r w:rsidR="00B77C7F" w:rsidRPr="00A57F4B">
        <w:rPr>
          <w:lang w:val="en-AU"/>
        </w:rPr>
        <w:t>.</w:t>
      </w:r>
    </w:p>
    <w:p w14:paraId="2821F0D5" w14:textId="4DF3676B" w:rsidR="008E638F" w:rsidRPr="00A57F4B" w:rsidRDefault="00B77C7F" w:rsidP="007A0866">
      <w:pPr>
        <w:pStyle w:val="VCAAbody"/>
        <w:rPr>
          <w:b/>
          <w:i/>
          <w:lang w:val="en-AU"/>
        </w:rPr>
      </w:pPr>
      <w:r w:rsidRPr="00A57F4B">
        <w:rPr>
          <w:lang w:val="en-AU"/>
        </w:rPr>
        <w:t>There were</w:t>
      </w:r>
      <w:r w:rsidR="00E274F9" w:rsidRPr="00A57F4B">
        <w:rPr>
          <w:lang w:val="en-AU"/>
        </w:rPr>
        <w:t xml:space="preserve"> </w:t>
      </w:r>
      <w:r w:rsidRPr="00A57F4B">
        <w:rPr>
          <w:lang w:val="en-AU"/>
        </w:rPr>
        <w:t>some general areas for improvement noted by assessors.</w:t>
      </w:r>
      <w:r w:rsidR="00CC564A" w:rsidRPr="00A57F4B">
        <w:rPr>
          <w:lang w:val="en-AU"/>
        </w:rPr>
        <w:t xml:space="preserve"> </w:t>
      </w:r>
      <w:r w:rsidRPr="00A57F4B">
        <w:rPr>
          <w:lang w:val="en-AU"/>
        </w:rPr>
        <w:t xml:space="preserve">While students were able to demonstrate </w:t>
      </w:r>
      <w:proofErr w:type="gramStart"/>
      <w:r w:rsidRPr="00A57F4B">
        <w:rPr>
          <w:lang w:val="en-AU"/>
        </w:rPr>
        <w:t>knowledge</w:t>
      </w:r>
      <w:proofErr w:type="gramEnd"/>
      <w:r w:rsidRPr="00A57F4B">
        <w:rPr>
          <w:lang w:val="en-AU"/>
        </w:rPr>
        <w:t xml:space="preserve"> they had learned through their study of VCE Australian History, it’s also important for them to engage and grapple with the key concept or content of a question, whether that be the policy of assimilation or the impacts of legislation, </w:t>
      </w:r>
      <w:r w:rsidR="00343209" w:rsidRPr="00A57F4B">
        <w:rPr>
          <w:lang w:val="en-AU"/>
        </w:rPr>
        <w:t xml:space="preserve">for </w:t>
      </w:r>
      <w:r w:rsidRPr="00A57F4B">
        <w:rPr>
          <w:lang w:val="en-AU"/>
        </w:rPr>
        <w:t>example.</w:t>
      </w:r>
      <w:r w:rsidR="00CC564A" w:rsidRPr="00A57F4B">
        <w:rPr>
          <w:lang w:val="en-AU"/>
        </w:rPr>
        <w:t xml:space="preserve"> </w:t>
      </w:r>
      <w:r w:rsidRPr="00A57F4B">
        <w:rPr>
          <w:lang w:val="en-AU"/>
        </w:rPr>
        <w:t>Students need to apply their knowledge to address these key concepts, rather than writing in general terms.</w:t>
      </w:r>
      <w:r w:rsidR="00CC564A" w:rsidRPr="00A57F4B">
        <w:rPr>
          <w:lang w:val="en-AU"/>
        </w:rPr>
        <w:t xml:space="preserve"> </w:t>
      </w:r>
    </w:p>
    <w:p w14:paraId="04BABCF9" w14:textId="5521F933" w:rsidR="008E638F" w:rsidRPr="00A57F4B" w:rsidRDefault="008E638F" w:rsidP="007A0866">
      <w:pPr>
        <w:pStyle w:val="VCAAbody"/>
        <w:rPr>
          <w:b/>
          <w:i/>
          <w:lang w:val="en-AU"/>
        </w:rPr>
      </w:pPr>
      <w:r w:rsidRPr="00A57F4B">
        <w:rPr>
          <w:lang w:val="en-AU"/>
        </w:rPr>
        <w:t>In Section A, each investigation included questions that asked students to explain change.</w:t>
      </w:r>
      <w:r w:rsidR="00CC564A" w:rsidRPr="00A57F4B">
        <w:rPr>
          <w:lang w:val="en-AU"/>
        </w:rPr>
        <w:t xml:space="preserve"> </w:t>
      </w:r>
      <w:r w:rsidRPr="00A57F4B">
        <w:rPr>
          <w:lang w:val="en-AU"/>
        </w:rPr>
        <w:t xml:space="preserve">In order to </w:t>
      </w:r>
      <w:r w:rsidR="0033226B" w:rsidRPr="00A57F4B">
        <w:rPr>
          <w:lang w:val="en-AU"/>
        </w:rPr>
        <w:t>do</w:t>
      </w:r>
      <w:r w:rsidR="0033226B" w:rsidRPr="00A57F4B">
        <w:rPr>
          <w:color w:val="FF0000"/>
          <w:lang w:val="en-AU"/>
        </w:rPr>
        <w:t xml:space="preserve"> </w:t>
      </w:r>
      <w:r w:rsidRPr="00A57F4B">
        <w:rPr>
          <w:lang w:val="en-AU"/>
        </w:rPr>
        <w:t>so, responses need to be explicit about what actually changed, rather than describing or providing a narrative about ‘what happened’.</w:t>
      </w:r>
      <w:r w:rsidR="00CC564A" w:rsidRPr="00A57F4B">
        <w:rPr>
          <w:lang w:val="en-AU"/>
        </w:rPr>
        <w:t xml:space="preserve"> </w:t>
      </w:r>
      <w:r w:rsidRPr="00A57F4B">
        <w:rPr>
          <w:lang w:val="en-AU"/>
        </w:rPr>
        <w:t xml:space="preserve">Using the word </w:t>
      </w:r>
      <w:r w:rsidR="00B9408C" w:rsidRPr="00A57F4B">
        <w:rPr>
          <w:lang w:val="en-AU"/>
        </w:rPr>
        <w:t>‘</w:t>
      </w:r>
      <w:r w:rsidRPr="00A57F4B">
        <w:rPr>
          <w:color w:val="auto"/>
          <w:lang w:val="en-AU"/>
        </w:rPr>
        <w:t>change</w:t>
      </w:r>
      <w:r w:rsidR="00B9408C" w:rsidRPr="00A57F4B">
        <w:rPr>
          <w:color w:val="auto"/>
          <w:lang w:val="en-AU"/>
        </w:rPr>
        <w:t>’</w:t>
      </w:r>
      <w:r w:rsidRPr="00A57F4B">
        <w:rPr>
          <w:lang w:val="en-AU"/>
        </w:rPr>
        <w:t>, or a close synonym, often helped responses identify the specific change under analysis.</w:t>
      </w:r>
      <w:r w:rsidR="00CC564A" w:rsidRPr="00A57F4B">
        <w:rPr>
          <w:lang w:val="en-AU"/>
        </w:rPr>
        <w:t xml:space="preserve"> </w:t>
      </w:r>
      <w:r w:rsidRPr="00A57F4B">
        <w:rPr>
          <w:lang w:val="en-AU"/>
        </w:rPr>
        <w:t xml:space="preserve">Establishing the context or attitude that previously existed was also often helpful </w:t>
      </w:r>
      <w:r w:rsidR="006D7FC3" w:rsidRPr="00A57F4B">
        <w:rPr>
          <w:lang w:val="en-AU"/>
        </w:rPr>
        <w:t>for identifying what had changed</w:t>
      </w:r>
      <w:r w:rsidRPr="00A57F4B">
        <w:rPr>
          <w:lang w:val="en-AU"/>
        </w:rPr>
        <w:t>.</w:t>
      </w:r>
    </w:p>
    <w:p w14:paraId="2A693E93" w14:textId="7BD7D14A" w:rsidR="00B44DF9" w:rsidRPr="00A57F4B" w:rsidRDefault="008E638F" w:rsidP="007A0866">
      <w:pPr>
        <w:pStyle w:val="VCAAbody"/>
        <w:rPr>
          <w:b/>
          <w:i/>
          <w:lang w:val="en-AU"/>
        </w:rPr>
      </w:pPr>
      <w:r w:rsidRPr="00A57F4B">
        <w:rPr>
          <w:lang w:val="en-AU"/>
        </w:rPr>
        <w:t>T</w:t>
      </w:r>
      <w:r w:rsidR="00E5504A" w:rsidRPr="00A57F4B">
        <w:rPr>
          <w:lang w:val="en-AU"/>
        </w:rPr>
        <w:t>he new study design allows for questions that focus on a single area of study, or require students to draw on their knowledge of both areas of study for an investigation</w:t>
      </w:r>
      <w:r w:rsidRPr="00A57F4B">
        <w:rPr>
          <w:lang w:val="en-AU"/>
        </w:rPr>
        <w:t xml:space="preserve">, as </w:t>
      </w:r>
      <w:r w:rsidR="00284609" w:rsidRPr="00A57F4B">
        <w:rPr>
          <w:lang w:val="en-AU"/>
        </w:rPr>
        <w:t xml:space="preserve">part </w:t>
      </w:r>
      <w:r w:rsidRPr="00A57F4B">
        <w:rPr>
          <w:lang w:val="en-AU"/>
        </w:rPr>
        <w:t>e</w:t>
      </w:r>
      <w:r w:rsidR="00284609" w:rsidRPr="00A57F4B">
        <w:rPr>
          <w:lang w:val="en-AU"/>
        </w:rPr>
        <w:t>.</w:t>
      </w:r>
      <w:r w:rsidRPr="00A57F4B">
        <w:rPr>
          <w:lang w:val="en-AU"/>
        </w:rPr>
        <w:t xml:space="preserve"> did for each investigation in Section A</w:t>
      </w:r>
      <w:r w:rsidR="00E5504A" w:rsidRPr="00A57F4B">
        <w:rPr>
          <w:lang w:val="en-AU"/>
        </w:rPr>
        <w:t>.</w:t>
      </w:r>
      <w:r w:rsidR="00CC564A" w:rsidRPr="00A57F4B">
        <w:rPr>
          <w:lang w:val="en-AU"/>
        </w:rPr>
        <w:t xml:space="preserve"> </w:t>
      </w:r>
      <w:r w:rsidR="00E5504A" w:rsidRPr="00A57F4B">
        <w:rPr>
          <w:lang w:val="en-AU"/>
        </w:rPr>
        <w:t xml:space="preserve">This means that </w:t>
      </w:r>
      <w:r w:rsidR="006D7FC3" w:rsidRPr="00A57F4B">
        <w:rPr>
          <w:lang w:val="en-AU"/>
        </w:rPr>
        <w:t>students need to pay careful</w:t>
      </w:r>
      <w:r w:rsidR="00E5504A" w:rsidRPr="00A57F4B">
        <w:rPr>
          <w:lang w:val="en-AU"/>
        </w:rPr>
        <w:t xml:space="preserve"> attention </w:t>
      </w:r>
      <w:r w:rsidR="006D7FC3" w:rsidRPr="00A57F4B">
        <w:rPr>
          <w:lang w:val="en-AU"/>
        </w:rPr>
        <w:t xml:space="preserve">to </w:t>
      </w:r>
      <w:r w:rsidR="00E5504A" w:rsidRPr="00A57F4B">
        <w:rPr>
          <w:lang w:val="en-AU"/>
        </w:rPr>
        <w:t>the allocated time frame of a question.</w:t>
      </w:r>
      <w:r w:rsidR="00CC564A" w:rsidRPr="00A57F4B">
        <w:rPr>
          <w:lang w:val="en-AU"/>
        </w:rPr>
        <w:t xml:space="preserve"> </w:t>
      </w:r>
      <w:r w:rsidR="00E5504A" w:rsidRPr="00A57F4B">
        <w:rPr>
          <w:lang w:val="en-AU"/>
        </w:rPr>
        <w:t xml:space="preserve">In 2022, </w:t>
      </w:r>
      <w:r w:rsidRPr="00A57F4B">
        <w:rPr>
          <w:lang w:val="en-AU"/>
        </w:rPr>
        <w:t xml:space="preserve">however, </w:t>
      </w:r>
      <w:r w:rsidR="00E5504A" w:rsidRPr="00A57F4B">
        <w:rPr>
          <w:lang w:val="en-AU"/>
        </w:rPr>
        <w:t>each essay question asked only about the time frames for Area of Study 2, yet many students drew on knowledge from both areas of study to respond to their chosen question.</w:t>
      </w:r>
      <w:r w:rsidR="00CC564A" w:rsidRPr="00A57F4B">
        <w:rPr>
          <w:lang w:val="en-AU"/>
        </w:rPr>
        <w:t xml:space="preserve"> </w:t>
      </w:r>
      <w:r w:rsidR="00E5504A" w:rsidRPr="00A57F4B">
        <w:rPr>
          <w:lang w:val="en-AU"/>
        </w:rPr>
        <w:t>This was most prominently an issue for response</w:t>
      </w:r>
      <w:r w:rsidR="006D7FC3" w:rsidRPr="00A57F4B">
        <w:rPr>
          <w:lang w:val="en-AU"/>
        </w:rPr>
        <w:t>s</w:t>
      </w:r>
      <w:r w:rsidR="00E5504A" w:rsidRPr="00A57F4B">
        <w:rPr>
          <w:lang w:val="en-AU"/>
        </w:rPr>
        <w:t xml:space="preserve"> to </w:t>
      </w:r>
      <w:r w:rsidR="003C3AC0" w:rsidRPr="00A57F4B">
        <w:rPr>
          <w:lang w:val="en-AU"/>
        </w:rPr>
        <w:t>Q</w:t>
      </w:r>
      <w:r w:rsidR="00E5504A" w:rsidRPr="00A57F4B">
        <w:rPr>
          <w:lang w:val="en-AU"/>
        </w:rPr>
        <w:t>uestion 4 of Section B, as s</w:t>
      </w:r>
      <w:r w:rsidRPr="00A57F4B">
        <w:rPr>
          <w:lang w:val="en-AU"/>
        </w:rPr>
        <w:t xml:space="preserve">ome responses focused on the experiences of women and Aboriginal servicemen during World War </w:t>
      </w:r>
      <w:r w:rsidR="00B11379" w:rsidRPr="00A57F4B">
        <w:rPr>
          <w:lang w:val="en-AU"/>
        </w:rPr>
        <w:t xml:space="preserve">I </w:t>
      </w:r>
      <w:r w:rsidRPr="00A57F4B">
        <w:rPr>
          <w:lang w:val="en-AU"/>
        </w:rPr>
        <w:t xml:space="preserve">and World War </w:t>
      </w:r>
      <w:r w:rsidR="00B11379" w:rsidRPr="00A57F4B">
        <w:rPr>
          <w:lang w:val="en-AU"/>
        </w:rPr>
        <w:t>II</w:t>
      </w:r>
      <w:r w:rsidRPr="00A57F4B">
        <w:rPr>
          <w:lang w:val="en-AU"/>
        </w:rPr>
        <w:t>, despite the time frame being stipulated as post</w:t>
      </w:r>
      <w:r w:rsidR="00311ED8" w:rsidRPr="00A57F4B">
        <w:rPr>
          <w:lang w:val="en-AU"/>
        </w:rPr>
        <w:t>-</w:t>
      </w:r>
      <w:r w:rsidRPr="00A57F4B">
        <w:rPr>
          <w:lang w:val="en-AU"/>
        </w:rPr>
        <w:t>1950.</w:t>
      </w:r>
      <w:r w:rsidR="00CC564A" w:rsidRPr="00A57F4B">
        <w:rPr>
          <w:lang w:val="en-AU"/>
        </w:rPr>
        <w:t xml:space="preserve"> </w:t>
      </w:r>
      <w:r w:rsidRPr="00A57F4B">
        <w:rPr>
          <w:lang w:val="en-AU"/>
        </w:rPr>
        <w:t>Although these experiences can be relevant in order to establish change, such responses were often grounded in this time period, with little analysis of what happened after 1950.</w:t>
      </w:r>
    </w:p>
    <w:p w14:paraId="1ED91AF9" w14:textId="02F61A9A" w:rsidR="00E5504A" w:rsidRPr="00A57F4B" w:rsidRDefault="00E5504A" w:rsidP="007A0866">
      <w:pPr>
        <w:pStyle w:val="VCAAbody"/>
        <w:rPr>
          <w:b/>
          <w:i/>
          <w:lang w:val="en-AU"/>
        </w:rPr>
      </w:pPr>
      <w:r w:rsidRPr="00A57F4B">
        <w:rPr>
          <w:lang w:val="en-AU"/>
        </w:rPr>
        <w:t>Finally, it is important to note that students are assessed based on their ability to answer a question using knowledge that is relevant and appropriate</w:t>
      </w:r>
      <w:r w:rsidR="00A57F4B">
        <w:rPr>
          <w:lang w:val="en-AU"/>
        </w:rPr>
        <w:t>. T</w:t>
      </w:r>
      <w:r w:rsidRPr="00A57F4B">
        <w:rPr>
          <w:lang w:val="en-AU"/>
        </w:rPr>
        <w:t>hus</w:t>
      </w:r>
      <w:r w:rsidR="00B24561" w:rsidRPr="00A57F4B">
        <w:rPr>
          <w:lang w:val="en-AU"/>
        </w:rPr>
        <w:t xml:space="preserve"> students</w:t>
      </w:r>
      <w:r w:rsidRPr="00A57F4B">
        <w:rPr>
          <w:lang w:val="en-AU"/>
        </w:rPr>
        <w:t xml:space="preserve"> should prioritise knowledge that is relevant to the specific investigation and Area of Study.</w:t>
      </w:r>
    </w:p>
    <w:p w14:paraId="29027E3E" w14:textId="2708DF1E" w:rsidR="00B62480" w:rsidRPr="00A57F4B" w:rsidRDefault="00024018" w:rsidP="00350651">
      <w:pPr>
        <w:pStyle w:val="VCAAHeading1"/>
        <w:rPr>
          <w:lang w:val="en-AU"/>
        </w:rPr>
      </w:pPr>
      <w:r w:rsidRPr="00A57F4B">
        <w:rPr>
          <w:lang w:val="en-AU"/>
        </w:rPr>
        <w:lastRenderedPageBreak/>
        <w:t>Specific information</w:t>
      </w:r>
    </w:p>
    <w:p w14:paraId="1A4BFC4A" w14:textId="77777777" w:rsidR="005566E0" w:rsidRPr="00A57F4B" w:rsidRDefault="005566E0" w:rsidP="005566E0">
      <w:pPr>
        <w:pStyle w:val="VCAAbody"/>
        <w:rPr>
          <w:b/>
          <w:bCs/>
          <w:lang w:val="en-AU"/>
        </w:rPr>
      </w:pPr>
      <w:r w:rsidRPr="00A57F4B">
        <w:rPr>
          <w:rStyle w:val="VCAAbold"/>
          <w:b w:val="0"/>
          <w:bCs w:val="0"/>
          <w:lang w:val="en-AU"/>
        </w:rPr>
        <w:t>Student responses reproduced in this report have not been corrected for grammar, spelling or factual information.</w:t>
      </w:r>
    </w:p>
    <w:p w14:paraId="701A5335" w14:textId="77777777" w:rsidR="005566E0" w:rsidRPr="00A57F4B" w:rsidRDefault="005566E0" w:rsidP="005566E0">
      <w:pPr>
        <w:pStyle w:val="VCAAbody"/>
        <w:rPr>
          <w:lang w:val="en-AU"/>
        </w:rPr>
      </w:pPr>
      <w:r w:rsidRPr="00A57F4B">
        <w:rPr>
          <w:lang w:val="en-AU"/>
        </w:rPr>
        <w:t>This report provides sample answers or an indication of what answers may have included. Unless otherwise stated, these are not intended to be exemplary or complete responses.</w:t>
      </w:r>
    </w:p>
    <w:p w14:paraId="3CF71E87" w14:textId="32DB07E0" w:rsidR="005566E0" w:rsidRPr="00A57F4B" w:rsidRDefault="005566E0" w:rsidP="005566E0">
      <w:pPr>
        <w:pStyle w:val="VCAAbody"/>
        <w:rPr>
          <w:lang w:val="en-AU"/>
        </w:rPr>
      </w:pPr>
      <w:r w:rsidRPr="00A57F4B">
        <w:rPr>
          <w:lang w:val="en-AU"/>
        </w:rPr>
        <w:t xml:space="preserve">The statistics in this report may be subject to rounding resulting in a total </w:t>
      </w:r>
      <w:r w:rsidR="00A57F4B">
        <w:rPr>
          <w:lang w:val="en-AU"/>
        </w:rPr>
        <w:t xml:space="preserve">of </w:t>
      </w:r>
      <w:r w:rsidRPr="00A57F4B">
        <w:rPr>
          <w:lang w:val="en-AU"/>
        </w:rPr>
        <w:t>more or less than 100 per cent.</w:t>
      </w:r>
    </w:p>
    <w:p w14:paraId="4E881ECD" w14:textId="77777777" w:rsidR="00BB64D5" w:rsidRPr="00A57F4B" w:rsidRDefault="00BB64D5" w:rsidP="00BB64D5">
      <w:pPr>
        <w:pStyle w:val="VCAAHeading2"/>
        <w:rPr>
          <w:lang w:val="en-AU"/>
        </w:rPr>
      </w:pPr>
      <w:r w:rsidRPr="00A57F4B">
        <w:rPr>
          <w:lang w:val="en-AU"/>
        </w:rPr>
        <w:t>Section A</w:t>
      </w:r>
    </w:p>
    <w:p w14:paraId="37C3D86C" w14:textId="77777777" w:rsidR="005566E0" w:rsidRPr="00A57F4B" w:rsidRDefault="005566E0" w:rsidP="005566E0">
      <w:pPr>
        <w:pStyle w:val="VCAAHeading3"/>
        <w:rPr>
          <w:lang w:val="en-AU"/>
        </w:rPr>
      </w:pPr>
      <w:bookmarkStart w:id="1" w:name="_Hlk121653580"/>
      <w:r w:rsidRPr="00A57F4B">
        <w:rPr>
          <w:lang w:val="en-AU"/>
        </w:rPr>
        <w:t>Question 1a.</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661C3DDE"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bookmarkEnd w:id="1"/>
          <w:p w14:paraId="05A0AFD9" w14:textId="77777777" w:rsidR="00C7345C" w:rsidRPr="00A57F4B" w:rsidRDefault="00C7345C" w:rsidP="00A57F4B">
            <w:pPr>
              <w:pStyle w:val="VCAAtablecondensedheading"/>
              <w:rPr>
                <w:lang w:val="en-AU"/>
              </w:rPr>
            </w:pPr>
            <w:r w:rsidRPr="00A57F4B">
              <w:rPr>
                <w:lang w:val="en-AU"/>
              </w:rPr>
              <w:t>Marks</w:t>
            </w:r>
          </w:p>
        </w:tc>
        <w:tc>
          <w:tcPr>
            <w:tcW w:w="864" w:type="dxa"/>
          </w:tcPr>
          <w:p w14:paraId="0086DE7E" w14:textId="77777777" w:rsidR="00C7345C" w:rsidRPr="00A57F4B" w:rsidRDefault="00C7345C" w:rsidP="00A57F4B">
            <w:pPr>
              <w:pStyle w:val="VCAAtablecondensedheading"/>
              <w:rPr>
                <w:lang w:val="en-AU"/>
              </w:rPr>
            </w:pPr>
            <w:r w:rsidRPr="00A57F4B">
              <w:rPr>
                <w:lang w:val="en-AU"/>
              </w:rPr>
              <w:t>0</w:t>
            </w:r>
          </w:p>
        </w:tc>
        <w:tc>
          <w:tcPr>
            <w:tcW w:w="864" w:type="dxa"/>
          </w:tcPr>
          <w:p w14:paraId="51124643" w14:textId="77777777" w:rsidR="00C7345C" w:rsidRPr="00A57F4B" w:rsidRDefault="00C7345C" w:rsidP="00A57F4B">
            <w:pPr>
              <w:pStyle w:val="VCAAtablecondensedheading"/>
              <w:rPr>
                <w:lang w:val="en-AU"/>
              </w:rPr>
            </w:pPr>
            <w:r w:rsidRPr="00A57F4B">
              <w:rPr>
                <w:lang w:val="en-AU"/>
              </w:rPr>
              <w:t>1</w:t>
            </w:r>
          </w:p>
        </w:tc>
        <w:tc>
          <w:tcPr>
            <w:tcW w:w="864" w:type="dxa"/>
          </w:tcPr>
          <w:p w14:paraId="451E64EA" w14:textId="77777777" w:rsidR="00C7345C" w:rsidRPr="00A57F4B" w:rsidRDefault="00C7345C" w:rsidP="00A57F4B">
            <w:pPr>
              <w:pStyle w:val="VCAAtablecondensedheading"/>
              <w:rPr>
                <w:lang w:val="en-AU"/>
              </w:rPr>
            </w:pPr>
            <w:r w:rsidRPr="00A57F4B">
              <w:rPr>
                <w:lang w:val="en-AU"/>
              </w:rPr>
              <w:t>2</w:t>
            </w:r>
          </w:p>
        </w:tc>
        <w:tc>
          <w:tcPr>
            <w:tcW w:w="864" w:type="dxa"/>
          </w:tcPr>
          <w:p w14:paraId="3A122B84" w14:textId="77777777" w:rsidR="00C7345C" w:rsidRPr="00A57F4B" w:rsidRDefault="00C7345C" w:rsidP="00A57F4B">
            <w:pPr>
              <w:pStyle w:val="VCAAtablecondensedheading"/>
              <w:rPr>
                <w:lang w:val="en-AU"/>
              </w:rPr>
            </w:pPr>
            <w:r w:rsidRPr="00A57F4B">
              <w:rPr>
                <w:lang w:val="en-AU"/>
              </w:rPr>
              <w:t>Average</w:t>
            </w:r>
          </w:p>
        </w:tc>
      </w:tr>
      <w:tr w:rsidR="00C7345C" w:rsidRPr="00A57F4B" w14:paraId="4688060C" w14:textId="77777777" w:rsidTr="007838F5">
        <w:trPr>
          <w:trHeight w:hRule="exact" w:val="397"/>
        </w:trPr>
        <w:tc>
          <w:tcPr>
            <w:tcW w:w="864" w:type="dxa"/>
          </w:tcPr>
          <w:p w14:paraId="647E6276"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5F942986" w14:textId="0B9B890E" w:rsidR="00C7345C" w:rsidRPr="00A57F4B" w:rsidRDefault="00343C25" w:rsidP="00343C25">
            <w:pPr>
              <w:pStyle w:val="VCAAtablecondensed"/>
              <w:rPr>
                <w:lang w:val="en-AU"/>
              </w:rPr>
            </w:pPr>
            <w:r w:rsidRPr="00A57F4B">
              <w:rPr>
                <w:lang w:val="en-AU"/>
              </w:rPr>
              <w:t>3</w:t>
            </w:r>
          </w:p>
        </w:tc>
        <w:tc>
          <w:tcPr>
            <w:tcW w:w="864" w:type="dxa"/>
            <w:vAlign w:val="center"/>
          </w:tcPr>
          <w:p w14:paraId="5209DFA8" w14:textId="7FD123F8" w:rsidR="00C7345C" w:rsidRPr="00A57F4B" w:rsidRDefault="00343C25" w:rsidP="00343C25">
            <w:pPr>
              <w:pStyle w:val="VCAAtablecondensed"/>
              <w:rPr>
                <w:lang w:val="en-AU"/>
              </w:rPr>
            </w:pPr>
            <w:r w:rsidRPr="00A57F4B">
              <w:rPr>
                <w:lang w:val="en-AU"/>
              </w:rPr>
              <w:t>18</w:t>
            </w:r>
          </w:p>
        </w:tc>
        <w:tc>
          <w:tcPr>
            <w:tcW w:w="864" w:type="dxa"/>
            <w:vAlign w:val="center"/>
          </w:tcPr>
          <w:p w14:paraId="5FD61209" w14:textId="0772D5A1" w:rsidR="00C7345C" w:rsidRPr="00A57F4B" w:rsidRDefault="00343C25" w:rsidP="00343C25">
            <w:pPr>
              <w:pStyle w:val="VCAAtablecondensed"/>
              <w:rPr>
                <w:lang w:val="en-AU"/>
              </w:rPr>
            </w:pPr>
            <w:r w:rsidRPr="00A57F4B">
              <w:rPr>
                <w:lang w:val="en-AU"/>
              </w:rPr>
              <w:t>79</w:t>
            </w:r>
          </w:p>
        </w:tc>
        <w:tc>
          <w:tcPr>
            <w:tcW w:w="864" w:type="dxa"/>
          </w:tcPr>
          <w:p w14:paraId="327ED397" w14:textId="323228FA" w:rsidR="00C7345C" w:rsidRPr="00A57F4B" w:rsidRDefault="00FF4192" w:rsidP="00343C25">
            <w:pPr>
              <w:pStyle w:val="VCAAtablecondensed"/>
              <w:rPr>
                <w:lang w:val="en-AU"/>
              </w:rPr>
            </w:pPr>
            <w:r>
              <w:rPr>
                <w:lang w:val="en-AU"/>
              </w:rPr>
              <w:t>1</w:t>
            </w:r>
            <w:r w:rsidR="00343C25" w:rsidRPr="00A57F4B">
              <w:rPr>
                <w:lang w:val="en-AU"/>
              </w:rPr>
              <w:t>.</w:t>
            </w:r>
            <w:r>
              <w:rPr>
                <w:lang w:val="en-AU"/>
              </w:rPr>
              <w:t>8</w:t>
            </w:r>
          </w:p>
        </w:tc>
      </w:tr>
    </w:tbl>
    <w:p w14:paraId="2917D34C" w14:textId="0C68FD51" w:rsidR="00683503" w:rsidRPr="00A57F4B" w:rsidRDefault="004D7A2A" w:rsidP="007A0866">
      <w:pPr>
        <w:pStyle w:val="VCAAbody"/>
        <w:rPr>
          <w:lang w:val="en-AU"/>
        </w:rPr>
      </w:pPr>
      <w:r w:rsidRPr="00A57F4B">
        <w:rPr>
          <w:lang w:val="en-AU"/>
        </w:rPr>
        <w:t>This question required students to identify two methods for hunting water birds from a painting by Joseph Lycett</w:t>
      </w:r>
      <w:r w:rsidR="00BB64D5" w:rsidRPr="00A57F4B">
        <w:rPr>
          <w:lang w:val="en-AU"/>
        </w:rPr>
        <w:t xml:space="preserve">. Most </w:t>
      </w:r>
      <w:r w:rsidRPr="00A57F4B">
        <w:rPr>
          <w:lang w:val="en-AU"/>
        </w:rPr>
        <w:t>responses</w:t>
      </w:r>
      <w:r w:rsidR="00BB64D5" w:rsidRPr="00A57F4B">
        <w:rPr>
          <w:lang w:val="en-AU"/>
        </w:rPr>
        <w:t xml:space="preserve"> were able to clearly identify the use of spears, as well as bare hands. Other observations included hiding in the reeds and herding water</w:t>
      </w:r>
      <w:r w:rsidR="00B53333" w:rsidRPr="00A57F4B">
        <w:rPr>
          <w:lang w:val="en-AU"/>
        </w:rPr>
        <w:t xml:space="preserve"> </w:t>
      </w:r>
      <w:r w:rsidR="00BB64D5" w:rsidRPr="00A57F4B">
        <w:rPr>
          <w:lang w:val="en-AU"/>
        </w:rPr>
        <w:t>birds towards hunters with spears.</w:t>
      </w:r>
    </w:p>
    <w:p w14:paraId="4947ECEE" w14:textId="64E52893" w:rsidR="005566E0" w:rsidRPr="00A57F4B" w:rsidRDefault="005566E0" w:rsidP="005566E0">
      <w:pPr>
        <w:pStyle w:val="VCAAHeading3"/>
        <w:rPr>
          <w:lang w:val="en-AU"/>
        </w:rPr>
      </w:pPr>
      <w:r w:rsidRPr="00A57F4B">
        <w:rPr>
          <w:lang w:val="en-AU"/>
        </w:rPr>
        <w:t>Question 1b.</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tblGrid>
      <w:tr w:rsidR="00C7345C" w:rsidRPr="00A57F4B" w14:paraId="3BEF534A"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566DEFD" w14:textId="77777777" w:rsidR="00C7345C" w:rsidRPr="00A57F4B" w:rsidRDefault="00C7345C" w:rsidP="00A57F4B">
            <w:pPr>
              <w:pStyle w:val="VCAAtablecondensedheading"/>
              <w:rPr>
                <w:lang w:val="en-AU"/>
              </w:rPr>
            </w:pPr>
            <w:r w:rsidRPr="00A57F4B">
              <w:rPr>
                <w:lang w:val="en-AU"/>
              </w:rPr>
              <w:t>Marks</w:t>
            </w:r>
          </w:p>
        </w:tc>
        <w:tc>
          <w:tcPr>
            <w:tcW w:w="864" w:type="dxa"/>
          </w:tcPr>
          <w:p w14:paraId="068593B6" w14:textId="77777777" w:rsidR="00C7345C" w:rsidRPr="00A57F4B" w:rsidRDefault="00C7345C" w:rsidP="00A57F4B">
            <w:pPr>
              <w:pStyle w:val="VCAAtablecondensedheading"/>
              <w:rPr>
                <w:lang w:val="en-AU"/>
              </w:rPr>
            </w:pPr>
            <w:r w:rsidRPr="00A57F4B">
              <w:rPr>
                <w:lang w:val="en-AU"/>
              </w:rPr>
              <w:t>0</w:t>
            </w:r>
          </w:p>
        </w:tc>
        <w:tc>
          <w:tcPr>
            <w:tcW w:w="864" w:type="dxa"/>
          </w:tcPr>
          <w:p w14:paraId="4D807413" w14:textId="77777777" w:rsidR="00C7345C" w:rsidRPr="00A57F4B" w:rsidRDefault="00C7345C" w:rsidP="00A57F4B">
            <w:pPr>
              <w:pStyle w:val="VCAAtablecondensedheading"/>
              <w:rPr>
                <w:lang w:val="en-AU"/>
              </w:rPr>
            </w:pPr>
            <w:r w:rsidRPr="00A57F4B">
              <w:rPr>
                <w:lang w:val="en-AU"/>
              </w:rPr>
              <w:t>1</w:t>
            </w:r>
          </w:p>
        </w:tc>
        <w:tc>
          <w:tcPr>
            <w:tcW w:w="864" w:type="dxa"/>
          </w:tcPr>
          <w:p w14:paraId="53F1D744" w14:textId="77777777" w:rsidR="00C7345C" w:rsidRPr="00A57F4B" w:rsidRDefault="00C7345C" w:rsidP="00A57F4B">
            <w:pPr>
              <w:pStyle w:val="VCAAtablecondensedheading"/>
              <w:rPr>
                <w:lang w:val="en-AU"/>
              </w:rPr>
            </w:pPr>
            <w:r w:rsidRPr="00A57F4B">
              <w:rPr>
                <w:lang w:val="en-AU"/>
              </w:rPr>
              <w:t>2</w:t>
            </w:r>
          </w:p>
        </w:tc>
        <w:tc>
          <w:tcPr>
            <w:tcW w:w="864" w:type="dxa"/>
          </w:tcPr>
          <w:p w14:paraId="4A43F0C6" w14:textId="2A8AE6C7" w:rsidR="00C7345C" w:rsidRPr="00A57F4B" w:rsidRDefault="00C7345C" w:rsidP="00A57F4B">
            <w:pPr>
              <w:pStyle w:val="VCAAtablecondensedheading"/>
              <w:rPr>
                <w:lang w:val="en-AU"/>
              </w:rPr>
            </w:pPr>
            <w:r w:rsidRPr="00A57F4B">
              <w:rPr>
                <w:lang w:val="en-AU"/>
              </w:rPr>
              <w:t>3</w:t>
            </w:r>
          </w:p>
        </w:tc>
        <w:tc>
          <w:tcPr>
            <w:tcW w:w="864" w:type="dxa"/>
          </w:tcPr>
          <w:p w14:paraId="2B78BB64" w14:textId="6F287C71" w:rsidR="00C7345C" w:rsidRPr="00A57F4B" w:rsidRDefault="00C7345C" w:rsidP="00A57F4B">
            <w:pPr>
              <w:pStyle w:val="VCAAtablecondensedheading"/>
              <w:rPr>
                <w:lang w:val="en-AU"/>
              </w:rPr>
            </w:pPr>
            <w:r w:rsidRPr="00A57F4B">
              <w:rPr>
                <w:lang w:val="en-AU"/>
              </w:rPr>
              <w:t>4</w:t>
            </w:r>
          </w:p>
        </w:tc>
        <w:tc>
          <w:tcPr>
            <w:tcW w:w="864" w:type="dxa"/>
          </w:tcPr>
          <w:p w14:paraId="51B9AE8A" w14:textId="3E2222CE" w:rsidR="00C7345C" w:rsidRPr="00A57F4B" w:rsidRDefault="00C7345C" w:rsidP="00A57F4B">
            <w:pPr>
              <w:pStyle w:val="VCAAtablecondensedheading"/>
              <w:rPr>
                <w:lang w:val="en-AU"/>
              </w:rPr>
            </w:pPr>
            <w:r w:rsidRPr="00A57F4B">
              <w:rPr>
                <w:lang w:val="en-AU"/>
              </w:rPr>
              <w:t>5</w:t>
            </w:r>
          </w:p>
        </w:tc>
        <w:tc>
          <w:tcPr>
            <w:tcW w:w="864" w:type="dxa"/>
          </w:tcPr>
          <w:p w14:paraId="7FDC27C9" w14:textId="29B9717F" w:rsidR="00C7345C" w:rsidRPr="00A57F4B" w:rsidRDefault="00C7345C" w:rsidP="00A57F4B">
            <w:pPr>
              <w:pStyle w:val="VCAAtablecondensedheading"/>
              <w:rPr>
                <w:lang w:val="en-AU"/>
              </w:rPr>
            </w:pPr>
            <w:r w:rsidRPr="00A57F4B">
              <w:rPr>
                <w:lang w:val="en-AU"/>
              </w:rPr>
              <w:t>Average</w:t>
            </w:r>
          </w:p>
        </w:tc>
      </w:tr>
      <w:tr w:rsidR="00C7345C" w:rsidRPr="00A57F4B" w14:paraId="1AEB6A81" w14:textId="77777777" w:rsidTr="007838F5">
        <w:trPr>
          <w:trHeight w:hRule="exact" w:val="397"/>
        </w:trPr>
        <w:tc>
          <w:tcPr>
            <w:tcW w:w="864" w:type="dxa"/>
          </w:tcPr>
          <w:p w14:paraId="675B0EBA"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2B50F566" w14:textId="16E14CB8" w:rsidR="00C7345C" w:rsidRPr="00A57F4B" w:rsidRDefault="006119AC" w:rsidP="00A57F4B">
            <w:pPr>
              <w:pStyle w:val="VCAAtablecondensedheading"/>
              <w:rPr>
                <w:color w:val="000000" w:themeColor="text1"/>
                <w:lang w:val="en-AU"/>
              </w:rPr>
            </w:pPr>
            <w:r w:rsidRPr="00A57F4B">
              <w:rPr>
                <w:color w:val="000000" w:themeColor="text1"/>
                <w:lang w:val="en-AU"/>
              </w:rPr>
              <w:t>2</w:t>
            </w:r>
          </w:p>
        </w:tc>
        <w:tc>
          <w:tcPr>
            <w:tcW w:w="864" w:type="dxa"/>
            <w:vAlign w:val="center"/>
          </w:tcPr>
          <w:p w14:paraId="5BE31F3F" w14:textId="679CD071" w:rsidR="00C7345C" w:rsidRPr="00A57F4B" w:rsidRDefault="006119AC" w:rsidP="00A57F4B">
            <w:pPr>
              <w:pStyle w:val="VCAAtablecondensedheading"/>
              <w:rPr>
                <w:color w:val="000000" w:themeColor="text1"/>
                <w:lang w:val="en-AU"/>
              </w:rPr>
            </w:pPr>
            <w:r w:rsidRPr="00A57F4B">
              <w:rPr>
                <w:color w:val="000000" w:themeColor="text1"/>
                <w:lang w:val="en-AU"/>
              </w:rPr>
              <w:t>6</w:t>
            </w:r>
          </w:p>
        </w:tc>
        <w:tc>
          <w:tcPr>
            <w:tcW w:w="864" w:type="dxa"/>
            <w:vAlign w:val="center"/>
          </w:tcPr>
          <w:p w14:paraId="3332A1E2" w14:textId="1B811F40" w:rsidR="00C7345C" w:rsidRPr="00A57F4B" w:rsidRDefault="006119AC" w:rsidP="00A57F4B">
            <w:pPr>
              <w:pStyle w:val="VCAAtablecondensedheading"/>
              <w:rPr>
                <w:color w:val="000000" w:themeColor="text1"/>
                <w:lang w:val="en-AU"/>
              </w:rPr>
            </w:pPr>
            <w:r w:rsidRPr="00A57F4B">
              <w:rPr>
                <w:color w:val="000000" w:themeColor="text1"/>
                <w:lang w:val="en-AU"/>
              </w:rPr>
              <w:t>20</w:t>
            </w:r>
          </w:p>
        </w:tc>
        <w:tc>
          <w:tcPr>
            <w:tcW w:w="864" w:type="dxa"/>
          </w:tcPr>
          <w:p w14:paraId="02452FA9" w14:textId="25BCC094" w:rsidR="00C7345C" w:rsidRPr="00A57F4B" w:rsidRDefault="006119AC" w:rsidP="00A57F4B">
            <w:pPr>
              <w:pStyle w:val="VCAAtablecondensedheading"/>
              <w:rPr>
                <w:color w:val="000000" w:themeColor="text1"/>
                <w:lang w:val="en-AU"/>
              </w:rPr>
            </w:pPr>
            <w:r w:rsidRPr="00A57F4B">
              <w:rPr>
                <w:color w:val="000000" w:themeColor="text1"/>
                <w:lang w:val="en-AU"/>
              </w:rPr>
              <w:t>32</w:t>
            </w:r>
          </w:p>
        </w:tc>
        <w:tc>
          <w:tcPr>
            <w:tcW w:w="864" w:type="dxa"/>
          </w:tcPr>
          <w:p w14:paraId="33421035" w14:textId="09E56DA7" w:rsidR="00C7345C" w:rsidRPr="00A57F4B" w:rsidRDefault="006119AC" w:rsidP="00A57F4B">
            <w:pPr>
              <w:pStyle w:val="VCAAtablecondensedheading"/>
              <w:rPr>
                <w:color w:val="000000" w:themeColor="text1"/>
                <w:lang w:val="en-AU"/>
              </w:rPr>
            </w:pPr>
            <w:r w:rsidRPr="00A57F4B">
              <w:rPr>
                <w:color w:val="000000" w:themeColor="text1"/>
                <w:lang w:val="en-AU"/>
              </w:rPr>
              <w:t>23</w:t>
            </w:r>
          </w:p>
        </w:tc>
        <w:tc>
          <w:tcPr>
            <w:tcW w:w="864" w:type="dxa"/>
          </w:tcPr>
          <w:p w14:paraId="0874825F" w14:textId="11F3E245" w:rsidR="00C7345C" w:rsidRPr="00A57F4B" w:rsidRDefault="006119AC" w:rsidP="00A57F4B">
            <w:pPr>
              <w:pStyle w:val="VCAAtablecondensedheading"/>
              <w:rPr>
                <w:color w:val="000000" w:themeColor="text1"/>
                <w:lang w:val="en-AU"/>
              </w:rPr>
            </w:pPr>
            <w:r w:rsidRPr="00A57F4B">
              <w:rPr>
                <w:color w:val="000000" w:themeColor="text1"/>
                <w:lang w:val="en-AU"/>
              </w:rPr>
              <w:t>18</w:t>
            </w:r>
          </w:p>
        </w:tc>
        <w:tc>
          <w:tcPr>
            <w:tcW w:w="864" w:type="dxa"/>
          </w:tcPr>
          <w:p w14:paraId="38792774" w14:textId="755272A5" w:rsidR="00C7345C" w:rsidRPr="00A57F4B" w:rsidRDefault="006119AC" w:rsidP="00A57F4B">
            <w:pPr>
              <w:pStyle w:val="VCAAtablecondensedheading"/>
              <w:rPr>
                <w:color w:val="000000" w:themeColor="text1"/>
                <w:lang w:val="en-AU"/>
              </w:rPr>
            </w:pPr>
            <w:r w:rsidRPr="00A57F4B">
              <w:rPr>
                <w:color w:val="000000" w:themeColor="text1"/>
                <w:lang w:val="en-AU"/>
              </w:rPr>
              <w:t>3.2</w:t>
            </w:r>
          </w:p>
        </w:tc>
      </w:tr>
    </w:tbl>
    <w:p w14:paraId="38F9FA82" w14:textId="009C1466" w:rsidR="00871CEC" w:rsidRPr="00A57F4B" w:rsidRDefault="008247A5" w:rsidP="007A0866">
      <w:pPr>
        <w:pStyle w:val="VCAAbody"/>
        <w:rPr>
          <w:lang w:val="en-AU"/>
        </w:rPr>
      </w:pPr>
      <w:r w:rsidRPr="00A57F4B">
        <w:rPr>
          <w:lang w:val="en-AU"/>
        </w:rPr>
        <w:t>This question</w:t>
      </w:r>
      <w:r w:rsidR="00B254F3" w:rsidRPr="00A57F4B">
        <w:rPr>
          <w:lang w:val="en-AU"/>
        </w:rPr>
        <w:t xml:space="preserve"> required students to explain the differences in how Aboriginal people and colonists used the environment, using both Source 1 and Source 2</w:t>
      </w:r>
      <w:r w:rsidR="00D11C36" w:rsidRPr="00A57F4B">
        <w:rPr>
          <w:lang w:val="en-AU"/>
        </w:rPr>
        <w:t xml:space="preserve"> and their own knowledge</w:t>
      </w:r>
      <w:r w:rsidR="00B254F3" w:rsidRPr="00A57F4B">
        <w:rPr>
          <w:lang w:val="en-AU"/>
        </w:rPr>
        <w:t>.</w:t>
      </w:r>
      <w:r w:rsidR="00CC564A" w:rsidRPr="00A57F4B">
        <w:rPr>
          <w:lang w:val="en-AU"/>
        </w:rPr>
        <w:t xml:space="preserve"> </w:t>
      </w:r>
      <w:r w:rsidR="00B254F3" w:rsidRPr="00A57F4B">
        <w:rPr>
          <w:lang w:val="en-AU"/>
        </w:rPr>
        <w:t xml:space="preserve">Many responses focused heavily on Aboriginal management of land, drawing on Source 1, but the </w:t>
      </w:r>
      <w:r w:rsidR="00C91C8A" w:rsidRPr="00A57F4B">
        <w:rPr>
          <w:lang w:val="en-AU"/>
        </w:rPr>
        <w:t xml:space="preserve">highest-scoring </w:t>
      </w:r>
      <w:r w:rsidR="00B254F3" w:rsidRPr="00A57F4B">
        <w:rPr>
          <w:lang w:val="en-AU"/>
        </w:rPr>
        <w:t>responses were able to effectively integrate Source 2 in their explanation for how colonists used the environment.</w:t>
      </w:r>
      <w:r w:rsidR="00CC564A" w:rsidRPr="00A57F4B">
        <w:rPr>
          <w:lang w:val="en-AU"/>
        </w:rPr>
        <w:t xml:space="preserve"> </w:t>
      </w:r>
      <w:r w:rsidR="00B254F3" w:rsidRPr="00A57F4B">
        <w:rPr>
          <w:lang w:val="en-AU"/>
        </w:rPr>
        <w:t>High</w:t>
      </w:r>
      <w:r w:rsidR="00C91C8A" w:rsidRPr="00A57F4B">
        <w:rPr>
          <w:lang w:val="en-AU"/>
        </w:rPr>
        <w:t>-</w:t>
      </w:r>
      <w:r w:rsidR="00B254F3" w:rsidRPr="00A57F4B">
        <w:rPr>
          <w:lang w:val="en-AU"/>
        </w:rPr>
        <w:t xml:space="preserve">scoring responses noted that </w:t>
      </w:r>
      <w:r w:rsidR="00871CEC" w:rsidRPr="00A57F4B">
        <w:rPr>
          <w:lang w:val="en-AU"/>
        </w:rPr>
        <w:t>European colonists modified and transformed the landscape for their food production by hunting native species, clearing native vegetation and introducing new, hooved animals</w:t>
      </w:r>
      <w:r w:rsidR="00737300" w:rsidRPr="00A57F4B">
        <w:rPr>
          <w:lang w:val="en-AU"/>
        </w:rPr>
        <w:t>.</w:t>
      </w:r>
    </w:p>
    <w:p w14:paraId="6D1B3CDA" w14:textId="18883BDF" w:rsidR="00B254F3" w:rsidRPr="00A57F4B" w:rsidRDefault="00DB2D1B" w:rsidP="007A0866">
      <w:pPr>
        <w:pStyle w:val="VCAAbody"/>
        <w:rPr>
          <w:lang w:val="en-AU"/>
        </w:rPr>
      </w:pPr>
      <w:r w:rsidRPr="00A57F4B">
        <w:rPr>
          <w:lang w:val="en-AU"/>
        </w:rPr>
        <w:t>The</w:t>
      </w:r>
      <w:r w:rsidR="00C47FD4" w:rsidRPr="00A57F4B">
        <w:rPr>
          <w:lang w:val="en-AU"/>
        </w:rPr>
        <w:t xml:space="preserve"> high-scoring response</w:t>
      </w:r>
      <w:r w:rsidRPr="00A57F4B">
        <w:rPr>
          <w:lang w:val="en-AU"/>
        </w:rPr>
        <w:t xml:space="preserve"> below provides an excellent analysis of Aboriginal uses of the environment </w:t>
      </w:r>
      <w:r w:rsidR="00D55F60" w:rsidRPr="00A57F4B">
        <w:rPr>
          <w:lang w:val="en-AU"/>
        </w:rPr>
        <w:t xml:space="preserve">that incorporates </w:t>
      </w:r>
      <w:r w:rsidRPr="00A57F4B">
        <w:rPr>
          <w:lang w:val="en-AU"/>
        </w:rPr>
        <w:t xml:space="preserve">relevant quotes and knowledge from </w:t>
      </w:r>
      <w:r w:rsidR="00D55F60" w:rsidRPr="00A57F4B">
        <w:rPr>
          <w:lang w:val="en-AU"/>
        </w:rPr>
        <w:t xml:space="preserve">the student’s </w:t>
      </w:r>
      <w:r w:rsidRPr="00A57F4B">
        <w:rPr>
          <w:lang w:val="en-AU"/>
        </w:rPr>
        <w:t xml:space="preserve">own </w:t>
      </w:r>
      <w:r w:rsidR="00D55F60" w:rsidRPr="00A57F4B">
        <w:rPr>
          <w:lang w:val="en-AU"/>
        </w:rPr>
        <w:t>knowledge</w:t>
      </w:r>
      <w:r w:rsidR="00B254F3" w:rsidRPr="00A57F4B">
        <w:rPr>
          <w:lang w:val="en-AU"/>
        </w:rPr>
        <w:t>.</w:t>
      </w:r>
      <w:r w:rsidR="00CC564A" w:rsidRPr="00A57F4B">
        <w:rPr>
          <w:lang w:val="en-AU"/>
        </w:rPr>
        <w:t xml:space="preserve"> </w:t>
      </w:r>
      <w:r w:rsidR="00B254F3" w:rsidRPr="00A57F4B">
        <w:rPr>
          <w:lang w:val="en-AU"/>
        </w:rPr>
        <w:t>Despite including a useful quote and statistic from historian Richard Broome</w:t>
      </w:r>
      <w:r w:rsidR="00C47FD4" w:rsidRPr="00A57F4B">
        <w:rPr>
          <w:lang w:val="en-AU"/>
        </w:rPr>
        <w:t xml:space="preserve"> about European land management</w:t>
      </w:r>
      <w:r w:rsidR="00D11C36" w:rsidRPr="00A57F4B">
        <w:rPr>
          <w:lang w:val="en-AU"/>
        </w:rPr>
        <w:t xml:space="preserve"> from own knowledge</w:t>
      </w:r>
      <w:r w:rsidR="00B254F3" w:rsidRPr="00A57F4B">
        <w:rPr>
          <w:lang w:val="en-AU"/>
        </w:rPr>
        <w:t>,</w:t>
      </w:r>
      <w:r w:rsidR="00C47FD4" w:rsidRPr="00A57F4B">
        <w:rPr>
          <w:lang w:val="en-AU"/>
        </w:rPr>
        <w:t xml:space="preserve"> this response could have been improved through more effective use of Source 2.</w:t>
      </w:r>
      <w:r w:rsidR="00CC564A" w:rsidRPr="00A57F4B">
        <w:rPr>
          <w:lang w:val="en-AU"/>
        </w:rPr>
        <w:t xml:space="preserve"> </w:t>
      </w:r>
      <w:r w:rsidR="00C47FD4" w:rsidRPr="00A57F4B">
        <w:rPr>
          <w:lang w:val="en-AU"/>
        </w:rPr>
        <w:t xml:space="preserve">Wheelwright comments in Source 2 </w:t>
      </w:r>
      <w:r w:rsidR="00B254F3" w:rsidRPr="00A57F4B">
        <w:rPr>
          <w:lang w:val="en-AU"/>
        </w:rPr>
        <w:t xml:space="preserve">that ‘the duck-shooters of the day, like the diggers, never heeded the morrow’, </w:t>
      </w:r>
      <w:r w:rsidR="00C47FD4" w:rsidRPr="00A57F4B">
        <w:rPr>
          <w:lang w:val="en-AU"/>
        </w:rPr>
        <w:t>causing waterbirds to become ‘scarcer’ and</w:t>
      </w:r>
      <w:r w:rsidR="00B254F3" w:rsidRPr="00A57F4B">
        <w:rPr>
          <w:lang w:val="en-AU"/>
        </w:rPr>
        <w:t xml:space="preserve"> that ‘not one </w:t>
      </w:r>
      <w:r w:rsidR="00C47FD4" w:rsidRPr="00A57F4B">
        <w:rPr>
          <w:lang w:val="en-AU"/>
        </w:rPr>
        <w:t xml:space="preserve">[duck-shooter] </w:t>
      </w:r>
      <w:r w:rsidR="00B254F3" w:rsidRPr="00A57F4B">
        <w:rPr>
          <w:lang w:val="en-AU"/>
        </w:rPr>
        <w:t>laid up for a rainy day</w:t>
      </w:r>
      <w:r w:rsidR="00C47FD4" w:rsidRPr="00A57F4B">
        <w:rPr>
          <w:lang w:val="en-AU"/>
        </w:rPr>
        <w:t>’.</w:t>
      </w:r>
      <w:r w:rsidR="00CC564A" w:rsidRPr="00A57F4B">
        <w:rPr>
          <w:lang w:val="en-AU"/>
        </w:rPr>
        <w:t xml:space="preserve"> </w:t>
      </w:r>
      <w:r w:rsidR="00C47FD4" w:rsidRPr="00A57F4B">
        <w:rPr>
          <w:lang w:val="en-AU"/>
        </w:rPr>
        <w:t>These quotes might have allowed the response to acknowledge European ideas of resource extraction or the decline of native plants and animals.</w:t>
      </w:r>
    </w:p>
    <w:p w14:paraId="3F1237F0" w14:textId="7095A7E2" w:rsidR="00DB2D1B" w:rsidRPr="00A57F4B" w:rsidRDefault="00DB2D1B" w:rsidP="004E1920">
      <w:pPr>
        <w:pStyle w:val="VCAAstudentexample"/>
        <w:ind w:left="284"/>
      </w:pPr>
      <w:r w:rsidRPr="00A57F4B">
        <w:t>As depicted in source 1 and source 2, European settlers and Indigenous people managed the land in several different ways.</w:t>
      </w:r>
      <w:r w:rsidR="00CC564A" w:rsidRPr="00A57F4B">
        <w:t xml:space="preserve"> </w:t>
      </w:r>
      <w:r w:rsidRPr="00A57F4B">
        <w:t>Aboriginal people developed a strong custodianship to country in which they were “bound by the Great tradition” and developed fire regimes to manage land (Broome).</w:t>
      </w:r>
      <w:r w:rsidR="00CC564A" w:rsidRPr="00A57F4B">
        <w:t xml:space="preserve"> </w:t>
      </w:r>
      <w:r w:rsidRPr="00A57F4B">
        <w:t>“Fire stick farming” as coined by archaeologist Rhys Jones dated back to 60,000 BCE and was to ‘signal, clear ground and to hunt’ as 70% of native plants are fire tolerant (Broome). Moreover, Indigenous people used hydraulic and various other techniques to catch sea life including the development of spears to catch water birds on the Hunter River as shown in source 1.</w:t>
      </w:r>
      <w:r w:rsidR="00CC564A" w:rsidRPr="00A57F4B">
        <w:t xml:space="preserve"> </w:t>
      </w:r>
      <w:r w:rsidRPr="00A57F4B">
        <w:t>By contrast, settler ideas about land were “bound with personal power and wealth” leading to the introduction of the merino sheep in 1797 that established the basis of the pastoralism industry, with over 260 million sheep present by 1860 (Broome).</w:t>
      </w:r>
      <w:r w:rsidR="00CC564A" w:rsidRPr="00A57F4B">
        <w:t xml:space="preserve"> </w:t>
      </w:r>
      <w:r w:rsidRPr="00A57F4B">
        <w:t xml:space="preserve">Moreover, to contrast </w:t>
      </w:r>
      <w:r w:rsidRPr="00A57F4B">
        <w:lastRenderedPageBreak/>
        <w:t>Indigenous methods to catch water birds, Europeans became ‘duck shooters’ using the ‘sound of a gun’ (source 2).</w:t>
      </w:r>
      <w:r w:rsidR="00CC564A" w:rsidRPr="00A57F4B">
        <w:t xml:space="preserve"> </w:t>
      </w:r>
      <w:r w:rsidRPr="00A57F4B">
        <w:t>Indigenous and settler management of land different significantly.</w:t>
      </w:r>
    </w:p>
    <w:p w14:paraId="3A5CA7AA" w14:textId="77AED051" w:rsidR="005566E0" w:rsidRPr="00A57F4B" w:rsidRDefault="005566E0" w:rsidP="005566E0">
      <w:pPr>
        <w:pStyle w:val="VCAAHeading3"/>
        <w:rPr>
          <w:lang w:val="en-AU"/>
        </w:rPr>
      </w:pPr>
      <w:r w:rsidRPr="00A57F4B">
        <w:rPr>
          <w:lang w:val="en-AU"/>
        </w:rPr>
        <w:t>Question 1c.</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60F52440"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DB41E3D" w14:textId="77777777" w:rsidR="00C7345C" w:rsidRPr="00A57F4B" w:rsidRDefault="00C7345C" w:rsidP="00A57F4B">
            <w:pPr>
              <w:pStyle w:val="VCAAtablecondensedheading"/>
              <w:rPr>
                <w:lang w:val="en-AU"/>
              </w:rPr>
            </w:pPr>
            <w:r w:rsidRPr="00A57F4B">
              <w:rPr>
                <w:lang w:val="en-AU"/>
              </w:rPr>
              <w:t>Marks</w:t>
            </w:r>
          </w:p>
        </w:tc>
        <w:tc>
          <w:tcPr>
            <w:tcW w:w="864" w:type="dxa"/>
          </w:tcPr>
          <w:p w14:paraId="01F8FF6D" w14:textId="77777777" w:rsidR="00C7345C" w:rsidRPr="00A57F4B" w:rsidRDefault="00C7345C" w:rsidP="00A57F4B">
            <w:pPr>
              <w:pStyle w:val="VCAAtablecondensedheading"/>
              <w:rPr>
                <w:lang w:val="en-AU"/>
              </w:rPr>
            </w:pPr>
            <w:r w:rsidRPr="00A57F4B">
              <w:rPr>
                <w:lang w:val="en-AU"/>
              </w:rPr>
              <w:t>0</w:t>
            </w:r>
          </w:p>
        </w:tc>
        <w:tc>
          <w:tcPr>
            <w:tcW w:w="864" w:type="dxa"/>
          </w:tcPr>
          <w:p w14:paraId="486BB66A" w14:textId="77777777" w:rsidR="00C7345C" w:rsidRPr="00A57F4B" w:rsidRDefault="00C7345C" w:rsidP="00A57F4B">
            <w:pPr>
              <w:pStyle w:val="VCAAtablecondensedheading"/>
              <w:rPr>
                <w:lang w:val="en-AU"/>
              </w:rPr>
            </w:pPr>
            <w:r w:rsidRPr="00A57F4B">
              <w:rPr>
                <w:lang w:val="en-AU"/>
              </w:rPr>
              <w:t>1</w:t>
            </w:r>
          </w:p>
        </w:tc>
        <w:tc>
          <w:tcPr>
            <w:tcW w:w="864" w:type="dxa"/>
          </w:tcPr>
          <w:p w14:paraId="6741D4BA" w14:textId="77777777" w:rsidR="00C7345C" w:rsidRPr="00A57F4B" w:rsidRDefault="00C7345C" w:rsidP="00A57F4B">
            <w:pPr>
              <w:pStyle w:val="VCAAtablecondensedheading"/>
              <w:rPr>
                <w:lang w:val="en-AU"/>
              </w:rPr>
            </w:pPr>
            <w:r w:rsidRPr="00A57F4B">
              <w:rPr>
                <w:lang w:val="en-AU"/>
              </w:rPr>
              <w:t>2</w:t>
            </w:r>
          </w:p>
        </w:tc>
        <w:tc>
          <w:tcPr>
            <w:tcW w:w="864" w:type="dxa"/>
          </w:tcPr>
          <w:p w14:paraId="638ADAB4" w14:textId="77777777" w:rsidR="00C7345C" w:rsidRPr="00A57F4B" w:rsidRDefault="00C7345C" w:rsidP="00A57F4B">
            <w:pPr>
              <w:pStyle w:val="VCAAtablecondensedheading"/>
              <w:rPr>
                <w:lang w:val="en-AU"/>
              </w:rPr>
            </w:pPr>
            <w:r w:rsidRPr="00A57F4B">
              <w:rPr>
                <w:lang w:val="en-AU"/>
              </w:rPr>
              <w:t>Average</w:t>
            </w:r>
          </w:p>
        </w:tc>
      </w:tr>
      <w:tr w:rsidR="00C7345C" w:rsidRPr="00A57F4B" w14:paraId="7F363AF3" w14:textId="77777777" w:rsidTr="007838F5">
        <w:trPr>
          <w:trHeight w:hRule="exact" w:val="397"/>
        </w:trPr>
        <w:tc>
          <w:tcPr>
            <w:tcW w:w="864" w:type="dxa"/>
          </w:tcPr>
          <w:p w14:paraId="377C8491"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3EF675EF" w14:textId="03AAA65B" w:rsidR="00C7345C" w:rsidRPr="00A57F4B" w:rsidRDefault="006119AC" w:rsidP="00A57F4B">
            <w:pPr>
              <w:pStyle w:val="VCAAtablecondensedheading"/>
              <w:rPr>
                <w:color w:val="000000" w:themeColor="text1"/>
                <w:lang w:val="en-AU"/>
              </w:rPr>
            </w:pPr>
            <w:r w:rsidRPr="00A57F4B">
              <w:rPr>
                <w:color w:val="000000" w:themeColor="text1"/>
                <w:lang w:val="en-AU"/>
              </w:rPr>
              <w:t>7</w:t>
            </w:r>
          </w:p>
        </w:tc>
        <w:tc>
          <w:tcPr>
            <w:tcW w:w="864" w:type="dxa"/>
            <w:vAlign w:val="center"/>
          </w:tcPr>
          <w:p w14:paraId="101721B3" w14:textId="7867314D" w:rsidR="00C7345C" w:rsidRPr="00A57F4B" w:rsidRDefault="006119AC" w:rsidP="00A57F4B">
            <w:pPr>
              <w:pStyle w:val="VCAAtablecondensedheading"/>
              <w:rPr>
                <w:color w:val="000000" w:themeColor="text1"/>
                <w:lang w:val="en-AU"/>
              </w:rPr>
            </w:pPr>
            <w:r w:rsidRPr="00A57F4B">
              <w:rPr>
                <w:color w:val="000000" w:themeColor="text1"/>
                <w:lang w:val="en-AU"/>
              </w:rPr>
              <w:t>22</w:t>
            </w:r>
          </w:p>
        </w:tc>
        <w:tc>
          <w:tcPr>
            <w:tcW w:w="864" w:type="dxa"/>
            <w:vAlign w:val="center"/>
          </w:tcPr>
          <w:p w14:paraId="62749BA1" w14:textId="27284A12" w:rsidR="00C7345C" w:rsidRPr="00A57F4B" w:rsidRDefault="006119AC" w:rsidP="00A57F4B">
            <w:pPr>
              <w:pStyle w:val="VCAAtablecondensedheading"/>
              <w:rPr>
                <w:color w:val="000000" w:themeColor="text1"/>
                <w:lang w:val="en-AU"/>
              </w:rPr>
            </w:pPr>
            <w:r w:rsidRPr="00A57F4B">
              <w:rPr>
                <w:color w:val="000000" w:themeColor="text1"/>
                <w:lang w:val="en-AU"/>
              </w:rPr>
              <w:t>71</w:t>
            </w:r>
          </w:p>
        </w:tc>
        <w:tc>
          <w:tcPr>
            <w:tcW w:w="864" w:type="dxa"/>
          </w:tcPr>
          <w:p w14:paraId="2E8353E5" w14:textId="3289B05D" w:rsidR="00C7345C" w:rsidRPr="00A57F4B" w:rsidRDefault="006119AC" w:rsidP="00A57F4B">
            <w:pPr>
              <w:pStyle w:val="VCAAtablecondensedheading"/>
              <w:rPr>
                <w:color w:val="000000" w:themeColor="text1"/>
                <w:lang w:val="en-AU"/>
              </w:rPr>
            </w:pPr>
            <w:r w:rsidRPr="00A57F4B">
              <w:rPr>
                <w:color w:val="000000" w:themeColor="text1"/>
                <w:lang w:val="en-AU"/>
              </w:rPr>
              <w:t>1.7</w:t>
            </w:r>
          </w:p>
        </w:tc>
      </w:tr>
    </w:tbl>
    <w:p w14:paraId="79F6405A" w14:textId="7FE46012" w:rsidR="00871CEC" w:rsidRPr="00A57F4B" w:rsidRDefault="004D7A2A" w:rsidP="00A45B23">
      <w:pPr>
        <w:pStyle w:val="VCAAbody"/>
        <w:rPr>
          <w:lang w:val="en-AU"/>
        </w:rPr>
      </w:pPr>
      <w:r w:rsidRPr="00A57F4B">
        <w:rPr>
          <w:lang w:val="en-AU"/>
        </w:rPr>
        <w:t>This question required students</w:t>
      </w:r>
      <w:r w:rsidR="00F07F53" w:rsidRPr="00A57F4B">
        <w:rPr>
          <w:lang w:val="en-AU"/>
        </w:rPr>
        <w:t xml:space="preserve"> to</w:t>
      </w:r>
      <w:r w:rsidRPr="00A57F4B">
        <w:rPr>
          <w:lang w:val="en-AU"/>
        </w:rPr>
        <w:t xml:space="preserve"> use an excerpt from historians Hutton and Connors to outline a reason for the increased concern about environmental issues in Australia during the 1960s.</w:t>
      </w:r>
      <w:r w:rsidR="00CC564A" w:rsidRPr="00A57F4B">
        <w:rPr>
          <w:lang w:val="en-AU"/>
        </w:rPr>
        <w:t xml:space="preserve"> </w:t>
      </w:r>
      <w:r w:rsidRPr="00A57F4B">
        <w:rPr>
          <w:lang w:val="en-AU"/>
        </w:rPr>
        <w:t>A high proportion of students were able to do so effectively.</w:t>
      </w:r>
      <w:r w:rsidR="00CC564A" w:rsidRPr="00A57F4B">
        <w:rPr>
          <w:lang w:val="en-AU"/>
        </w:rPr>
        <w:t xml:space="preserve"> </w:t>
      </w:r>
      <w:r w:rsidRPr="00A57F4B">
        <w:rPr>
          <w:lang w:val="en-AU"/>
        </w:rPr>
        <w:t>Responses</w:t>
      </w:r>
      <w:r w:rsidR="00871CEC" w:rsidRPr="00A57F4B">
        <w:rPr>
          <w:lang w:val="en-AU"/>
        </w:rPr>
        <w:t xml:space="preserve"> typically included reference to the forest industry knocking down native forests, sand mining threaten</w:t>
      </w:r>
      <w:r w:rsidR="00F07F53" w:rsidRPr="00A57F4B">
        <w:rPr>
          <w:lang w:val="en-AU"/>
        </w:rPr>
        <w:t>ing</w:t>
      </w:r>
      <w:r w:rsidR="00871CEC" w:rsidRPr="00A57F4B">
        <w:rPr>
          <w:lang w:val="en-AU"/>
        </w:rPr>
        <w:t xml:space="preserve"> sensitive coastal areas or the Tasmanian Hydro Electric Commission preparing to dam Lake Pedder.</w:t>
      </w:r>
      <w:r w:rsidR="00CC564A" w:rsidRPr="00A57F4B">
        <w:rPr>
          <w:lang w:val="en-AU"/>
        </w:rPr>
        <w:t xml:space="preserve"> </w:t>
      </w:r>
      <w:r w:rsidR="00871CEC" w:rsidRPr="00A57F4B">
        <w:rPr>
          <w:lang w:val="en-AU"/>
        </w:rPr>
        <w:t xml:space="preserve">Some </w:t>
      </w:r>
      <w:r w:rsidRPr="00A57F4B">
        <w:rPr>
          <w:lang w:val="en-AU"/>
        </w:rPr>
        <w:t>responses</w:t>
      </w:r>
      <w:r w:rsidR="00871CEC" w:rsidRPr="00A57F4B">
        <w:rPr>
          <w:lang w:val="en-AU"/>
        </w:rPr>
        <w:t xml:space="preserve"> added to th</w:t>
      </w:r>
      <w:r w:rsidR="00A46DF6" w:rsidRPr="00A57F4B">
        <w:rPr>
          <w:lang w:val="en-AU"/>
        </w:rPr>
        <w:t>e</w:t>
      </w:r>
      <w:r w:rsidR="00871CEC" w:rsidRPr="00A57F4B">
        <w:rPr>
          <w:lang w:val="en-AU"/>
        </w:rPr>
        <w:t>s</w:t>
      </w:r>
      <w:r w:rsidR="00A46DF6" w:rsidRPr="00A57F4B">
        <w:rPr>
          <w:lang w:val="en-AU"/>
        </w:rPr>
        <w:t>e</w:t>
      </w:r>
      <w:r w:rsidR="00871CEC" w:rsidRPr="00A57F4B">
        <w:rPr>
          <w:lang w:val="en-AU"/>
        </w:rPr>
        <w:t xml:space="preserve"> points by noting an increasing awareness of the importance and sensitiv</w:t>
      </w:r>
      <w:r w:rsidR="00A848DD" w:rsidRPr="00A57F4B">
        <w:rPr>
          <w:lang w:val="en-AU"/>
        </w:rPr>
        <w:t>ity</w:t>
      </w:r>
      <w:r w:rsidR="00871CEC" w:rsidRPr="00A57F4B">
        <w:rPr>
          <w:lang w:val="en-AU"/>
        </w:rPr>
        <w:t xml:space="preserve"> of natural environments or greater appreciation for </w:t>
      </w:r>
      <w:r w:rsidR="007476ED" w:rsidRPr="00A57F4B">
        <w:rPr>
          <w:lang w:val="en-AU"/>
        </w:rPr>
        <w:t xml:space="preserve">the </w:t>
      </w:r>
      <w:r w:rsidR="00871CEC" w:rsidRPr="00A57F4B">
        <w:rPr>
          <w:lang w:val="en-AU"/>
        </w:rPr>
        <w:t xml:space="preserve">natural beauty of </w:t>
      </w:r>
      <w:r w:rsidR="00A57F4B">
        <w:rPr>
          <w:lang w:val="en-AU"/>
        </w:rPr>
        <w:t xml:space="preserve">the </w:t>
      </w:r>
      <w:r w:rsidR="00871CEC" w:rsidRPr="00A57F4B">
        <w:rPr>
          <w:lang w:val="en-AU"/>
        </w:rPr>
        <w:t>Australian environment.</w:t>
      </w:r>
    </w:p>
    <w:p w14:paraId="087AAA6A" w14:textId="431392BC" w:rsidR="005566E0" w:rsidRPr="00A57F4B" w:rsidRDefault="005566E0" w:rsidP="005566E0">
      <w:pPr>
        <w:pStyle w:val="VCAAHeading3"/>
        <w:rPr>
          <w:lang w:val="en-AU"/>
        </w:rPr>
      </w:pPr>
      <w:r w:rsidRPr="00A57F4B">
        <w:rPr>
          <w:lang w:val="en-AU"/>
        </w:rPr>
        <w:t>Question 1d.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E111F3" w:rsidRPr="00A57F4B" w14:paraId="616C71C1"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EF25B88" w14:textId="77777777" w:rsidR="00E111F3" w:rsidRPr="00A57F4B" w:rsidRDefault="00E111F3" w:rsidP="00A57F4B">
            <w:pPr>
              <w:pStyle w:val="VCAAtablecondensedheading"/>
              <w:rPr>
                <w:lang w:val="en-AU"/>
              </w:rPr>
            </w:pPr>
            <w:r w:rsidRPr="00A57F4B">
              <w:rPr>
                <w:lang w:val="en-AU"/>
              </w:rPr>
              <w:t>Marks</w:t>
            </w:r>
          </w:p>
        </w:tc>
        <w:tc>
          <w:tcPr>
            <w:tcW w:w="864" w:type="dxa"/>
          </w:tcPr>
          <w:p w14:paraId="72AE47EB" w14:textId="77777777" w:rsidR="00E111F3" w:rsidRPr="00A57F4B" w:rsidRDefault="00E111F3" w:rsidP="00A57F4B">
            <w:pPr>
              <w:pStyle w:val="VCAAtablecondensedheading"/>
              <w:rPr>
                <w:lang w:val="en-AU"/>
              </w:rPr>
            </w:pPr>
            <w:r w:rsidRPr="00A57F4B">
              <w:rPr>
                <w:lang w:val="en-AU"/>
              </w:rPr>
              <w:t>0</w:t>
            </w:r>
          </w:p>
        </w:tc>
        <w:tc>
          <w:tcPr>
            <w:tcW w:w="864" w:type="dxa"/>
          </w:tcPr>
          <w:p w14:paraId="230A0892" w14:textId="77777777" w:rsidR="00E111F3" w:rsidRPr="00A57F4B" w:rsidRDefault="00E111F3" w:rsidP="00A57F4B">
            <w:pPr>
              <w:pStyle w:val="VCAAtablecondensedheading"/>
              <w:rPr>
                <w:lang w:val="en-AU"/>
              </w:rPr>
            </w:pPr>
            <w:r w:rsidRPr="00A57F4B">
              <w:rPr>
                <w:lang w:val="en-AU"/>
              </w:rPr>
              <w:t>1</w:t>
            </w:r>
          </w:p>
        </w:tc>
        <w:tc>
          <w:tcPr>
            <w:tcW w:w="864" w:type="dxa"/>
          </w:tcPr>
          <w:p w14:paraId="52F788CD" w14:textId="77777777" w:rsidR="00E111F3" w:rsidRPr="00A57F4B" w:rsidRDefault="00E111F3" w:rsidP="00A57F4B">
            <w:pPr>
              <w:pStyle w:val="VCAAtablecondensedheading"/>
              <w:rPr>
                <w:lang w:val="en-AU"/>
              </w:rPr>
            </w:pPr>
            <w:r w:rsidRPr="00A57F4B">
              <w:rPr>
                <w:lang w:val="en-AU"/>
              </w:rPr>
              <w:t>2</w:t>
            </w:r>
          </w:p>
        </w:tc>
        <w:tc>
          <w:tcPr>
            <w:tcW w:w="864" w:type="dxa"/>
          </w:tcPr>
          <w:p w14:paraId="7D481069" w14:textId="77777777" w:rsidR="00E111F3" w:rsidRPr="00A57F4B" w:rsidRDefault="00E111F3" w:rsidP="00A57F4B">
            <w:pPr>
              <w:pStyle w:val="VCAAtablecondensedheading"/>
              <w:rPr>
                <w:lang w:val="en-AU"/>
              </w:rPr>
            </w:pPr>
            <w:r w:rsidRPr="00A57F4B">
              <w:rPr>
                <w:lang w:val="en-AU"/>
              </w:rPr>
              <w:t>3</w:t>
            </w:r>
          </w:p>
        </w:tc>
        <w:tc>
          <w:tcPr>
            <w:tcW w:w="864" w:type="dxa"/>
          </w:tcPr>
          <w:p w14:paraId="50AA9A95" w14:textId="77777777" w:rsidR="00E111F3" w:rsidRPr="00A57F4B" w:rsidRDefault="00E111F3" w:rsidP="00A57F4B">
            <w:pPr>
              <w:pStyle w:val="VCAAtablecondensedheading"/>
              <w:rPr>
                <w:lang w:val="en-AU"/>
              </w:rPr>
            </w:pPr>
            <w:r w:rsidRPr="00A57F4B">
              <w:rPr>
                <w:lang w:val="en-AU"/>
              </w:rPr>
              <w:t>4</w:t>
            </w:r>
          </w:p>
        </w:tc>
        <w:tc>
          <w:tcPr>
            <w:tcW w:w="864" w:type="dxa"/>
          </w:tcPr>
          <w:p w14:paraId="3BF92B82" w14:textId="77777777" w:rsidR="00E111F3" w:rsidRPr="00A57F4B" w:rsidRDefault="00E111F3" w:rsidP="00A57F4B">
            <w:pPr>
              <w:pStyle w:val="VCAAtablecondensedheading"/>
              <w:rPr>
                <w:lang w:val="en-AU"/>
              </w:rPr>
            </w:pPr>
            <w:r w:rsidRPr="00A57F4B">
              <w:rPr>
                <w:lang w:val="en-AU"/>
              </w:rPr>
              <w:t>5</w:t>
            </w:r>
          </w:p>
        </w:tc>
        <w:tc>
          <w:tcPr>
            <w:tcW w:w="864" w:type="dxa"/>
          </w:tcPr>
          <w:p w14:paraId="3362C3F1" w14:textId="0069054B" w:rsidR="00E111F3" w:rsidRPr="00A57F4B" w:rsidRDefault="00E111F3" w:rsidP="00A57F4B">
            <w:pPr>
              <w:pStyle w:val="VCAAtablecondensedheading"/>
              <w:rPr>
                <w:lang w:val="en-AU"/>
              </w:rPr>
            </w:pPr>
            <w:r w:rsidRPr="00A57F4B">
              <w:rPr>
                <w:lang w:val="en-AU"/>
              </w:rPr>
              <w:t>6</w:t>
            </w:r>
          </w:p>
        </w:tc>
        <w:tc>
          <w:tcPr>
            <w:tcW w:w="864" w:type="dxa"/>
          </w:tcPr>
          <w:p w14:paraId="6106EAD9" w14:textId="4470B87F" w:rsidR="00E111F3" w:rsidRPr="00A57F4B" w:rsidRDefault="00E111F3" w:rsidP="00A57F4B">
            <w:pPr>
              <w:pStyle w:val="VCAAtablecondensedheading"/>
              <w:rPr>
                <w:lang w:val="en-AU"/>
              </w:rPr>
            </w:pPr>
            <w:r w:rsidRPr="00A57F4B">
              <w:rPr>
                <w:lang w:val="en-AU"/>
              </w:rPr>
              <w:t>Average</w:t>
            </w:r>
          </w:p>
        </w:tc>
      </w:tr>
      <w:tr w:rsidR="00E111F3" w:rsidRPr="00A57F4B" w14:paraId="01083D5B" w14:textId="77777777" w:rsidTr="007838F5">
        <w:trPr>
          <w:trHeight w:hRule="exact" w:val="397"/>
        </w:trPr>
        <w:tc>
          <w:tcPr>
            <w:tcW w:w="864" w:type="dxa"/>
          </w:tcPr>
          <w:p w14:paraId="1854DAAC" w14:textId="77777777" w:rsidR="00E111F3" w:rsidRPr="00A57F4B" w:rsidRDefault="00E111F3" w:rsidP="00A57F4B">
            <w:pPr>
              <w:pStyle w:val="VCAAtablecondensed"/>
              <w:rPr>
                <w:lang w:val="en-AU"/>
              </w:rPr>
            </w:pPr>
            <w:r w:rsidRPr="00A57F4B">
              <w:rPr>
                <w:lang w:val="en-AU"/>
              </w:rPr>
              <w:t>%</w:t>
            </w:r>
          </w:p>
        </w:tc>
        <w:tc>
          <w:tcPr>
            <w:tcW w:w="864" w:type="dxa"/>
            <w:vAlign w:val="center"/>
          </w:tcPr>
          <w:p w14:paraId="0A55BEFF" w14:textId="3E8CB6E9" w:rsidR="00E111F3" w:rsidRPr="00A57F4B" w:rsidRDefault="00B9303A" w:rsidP="00A57F4B">
            <w:pPr>
              <w:pStyle w:val="VCAAtablecondensedheading"/>
              <w:rPr>
                <w:color w:val="000000" w:themeColor="text1"/>
                <w:lang w:val="en-AU"/>
              </w:rPr>
            </w:pPr>
            <w:r w:rsidRPr="00A57F4B">
              <w:rPr>
                <w:color w:val="000000" w:themeColor="text1"/>
                <w:lang w:val="en-AU"/>
              </w:rPr>
              <w:t>12</w:t>
            </w:r>
          </w:p>
        </w:tc>
        <w:tc>
          <w:tcPr>
            <w:tcW w:w="864" w:type="dxa"/>
            <w:vAlign w:val="center"/>
          </w:tcPr>
          <w:p w14:paraId="168CED31" w14:textId="4545A01B" w:rsidR="00E111F3" w:rsidRPr="00A57F4B" w:rsidRDefault="00B9303A" w:rsidP="00A57F4B">
            <w:pPr>
              <w:pStyle w:val="VCAAtablecondensedheading"/>
              <w:rPr>
                <w:color w:val="000000" w:themeColor="text1"/>
                <w:lang w:val="en-AU"/>
              </w:rPr>
            </w:pPr>
            <w:r w:rsidRPr="00A57F4B">
              <w:rPr>
                <w:color w:val="000000" w:themeColor="text1"/>
                <w:lang w:val="en-AU"/>
              </w:rPr>
              <w:t>16</w:t>
            </w:r>
          </w:p>
        </w:tc>
        <w:tc>
          <w:tcPr>
            <w:tcW w:w="864" w:type="dxa"/>
            <w:vAlign w:val="center"/>
          </w:tcPr>
          <w:p w14:paraId="37743F40" w14:textId="4876913E" w:rsidR="00E111F3" w:rsidRPr="00A57F4B" w:rsidRDefault="00B9303A" w:rsidP="00A57F4B">
            <w:pPr>
              <w:pStyle w:val="VCAAtablecondensedheading"/>
              <w:rPr>
                <w:color w:val="000000" w:themeColor="text1"/>
                <w:lang w:val="en-AU"/>
              </w:rPr>
            </w:pPr>
            <w:r w:rsidRPr="00A57F4B">
              <w:rPr>
                <w:color w:val="000000" w:themeColor="text1"/>
                <w:lang w:val="en-AU"/>
              </w:rPr>
              <w:t>20</w:t>
            </w:r>
          </w:p>
        </w:tc>
        <w:tc>
          <w:tcPr>
            <w:tcW w:w="864" w:type="dxa"/>
          </w:tcPr>
          <w:p w14:paraId="01AB5AE9" w14:textId="6A1DF62F" w:rsidR="00E111F3" w:rsidRPr="00A57F4B" w:rsidRDefault="00B9303A" w:rsidP="00A57F4B">
            <w:pPr>
              <w:pStyle w:val="VCAAtablecondensedheading"/>
              <w:rPr>
                <w:color w:val="000000" w:themeColor="text1"/>
                <w:lang w:val="en-AU"/>
              </w:rPr>
            </w:pPr>
            <w:r w:rsidRPr="00A57F4B">
              <w:rPr>
                <w:color w:val="000000" w:themeColor="text1"/>
                <w:lang w:val="en-AU"/>
              </w:rPr>
              <w:t>21</w:t>
            </w:r>
          </w:p>
        </w:tc>
        <w:tc>
          <w:tcPr>
            <w:tcW w:w="864" w:type="dxa"/>
          </w:tcPr>
          <w:p w14:paraId="25CB5C43" w14:textId="317B251D" w:rsidR="00E111F3" w:rsidRPr="00A57F4B" w:rsidRDefault="00B9303A" w:rsidP="00A57F4B">
            <w:pPr>
              <w:pStyle w:val="VCAAtablecondensedheading"/>
              <w:rPr>
                <w:color w:val="000000" w:themeColor="text1"/>
                <w:lang w:val="en-AU"/>
              </w:rPr>
            </w:pPr>
            <w:r w:rsidRPr="00A57F4B">
              <w:rPr>
                <w:color w:val="000000" w:themeColor="text1"/>
                <w:lang w:val="en-AU"/>
              </w:rPr>
              <w:t>17</w:t>
            </w:r>
          </w:p>
        </w:tc>
        <w:tc>
          <w:tcPr>
            <w:tcW w:w="864" w:type="dxa"/>
          </w:tcPr>
          <w:p w14:paraId="059F31FD" w14:textId="4A0AE1B6" w:rsidR="00E111F3" w:rsidRPr="00A57F4B" w:rsidRDefault="00B9303A" w:rsidP="00A57F4B">
            <w:pPr>
              <w:pStyle w:val="VCAAtablecondensedheading"/>
              <w:rPr>
                <w:color w:val="000000" w:themeColor="text1"/>
                <w:lang w:val="en-AU"/>
              </w:rPr>
            </w:pPr>
            <w:r w:rsidRPr="00A57F4B">
              <w:rPr>
                <w:color w:val="000000" w:themeColor="text1"/>
                <w:lang w:val="en-AU"/>
              </w:rPr>
              <w:t>7</w:t>
            </w:r>
          </w:p>
        </w:tc>
        <w:tc>
          <w:tcPr>
            <w:tcW w:w="864" w:type="dxa"/>
          </w:tcPr>
          <w:p w14:paraId="7FC1279E" w14:textId="0B95AA89" w:rsidR="00E111F3" w:rsidRPr="00A57F4B" w:rsidRDefault="00B9303A" w:rsidP="00A57F4B">
            <w:pPr>
              <w:pStyle w:val="VCAAtablecondensedheading"/>
              <w:rPr>
                <w:color w:val="000000" w:themeColor="text1"/>
                <w:lang w:val="en-AU"/>
              </w:rPr>
            </w:pPr>
            <w:r w:rsidRPr="00A57F4B">
              <w:rPr>
                <w:color w:val="000000" w:themeColor="text1"/>
                <w:lang w:val="en-AU"/>
              </w:rPr>
              <w:t>6</w:t>
            </w:r>
          </w:p>
        </w:tc>
        <w:tc>
          <w:tcPr>
            <w:tcW w:w="864" w:type="dxa"/>
          </w:tcPr>
          <w:p w14:paraId="474D7181" w14:textId="3A93A76E" w:rsidR="00E111F3" w:rsidRPr="00A57F4B" w:rsidRDefault="00B9303A" w:rsidP="00A57F4B">
            <w:pPr>
              <w:pStyle w:val="VCAAtablecondensedheading"/>
              <w:rPr>
                <w:color w:val="000000" w:themeColor="text1"/>
                <w:lang w:val="en-AU"/>
              </w:rPr>
            </w:pPr>
            <w:r w:rsidRPr="00A57F4B">
              <w:rPr>
                <w:color w:val="000000" w:themeColor="text1"/>
                <w:lang w:val="en-AU"/>
              </w:rPr>
              <w:t>2.6</w:t>
            </w:r>
          </w:p>
        </w:tc>
      </w:tr>
    </w:tbl>
    <w:p w14:paraId="10BEB34D" w14:textId="10B1CD26" w:rsidR="00BB64D5" w:rsidRPr="00A57F4B" w:rsidRDefault="00C47FD4" w:rsidP="00A45B23">
      <w:pPr>
        <w:pStyle w:val="VCAAbody"/>
        <w:rPr>
          <w:lang w:val="en-AU"/>
        </w:rPr>
      </w:pPr>
      <w:r w:rsidRPr="00A57F4B">
        <w:rPr>
          <w:lang w:val="en-AU"/>
        </w:rPr>
        <w:t>Students were required to explain two changes that occurred as a result of anti-nuclear protests.</w:t>
      </w:r>
      <w:r w:rsidR="00CC564A" w:rsidRPr="00A57F4B">
        <w:rPr>
          <w:lang w:val="en-AU"/>
        </w:rPr>
        <w:t xml:space="preserve"> </w:t>
      </w:r>
      <w:r w:rsidR="00BB64D5" w:rsidRPr="00A57F4B">
        <w:rPr>
          <w:lang w:val="en-AU"/>
        </w:rPr>
        <w:t xml:space="preserve">The </w:t>
      </w:r>
      <w:r w:rsidR="002A7C2D" w:rsidRPr="00A57F4B">
        <w:rPr>
          <w:lang w:val="en-AU"/>
        </w:rPr>
        <w:t xml:space="preserve">highest-scoring </w:t>
      </w:r>
      <w:r w:rsidR="00BB64D5" w:rsidRPr="00A57F4B">
        <w:rPr>
          <w:lang w:val="en-AU"/>
        </w:rPr>
        <w:t>responses were structured to explicitly explain two changes by clearly signposting each change and linking to anti-nuclear protests. The highest</w:t>
      </w:r>
      <w:r w:rsidR="00D54B55" w:rsidRPr="00A57F4B">
        <w:rPr>
          <w:lang w:val="en-AU"/>
        </w:rPr>
        <w:t>-</w:t>
      </w:r>
      <w:r w:rsidR="00BB64D5" w:rsidRPr="00A57F4B">
        <w:rPr>
          <w:lang w:val="en-AU"/>
        </w:rPr>
        <w:t>scoring responses used both the examples in the source but also discussed other changes, such as the rise of the Nuclear Disarmament Party in 1984 and the successful protests against uranium mining at Jabiluka in 1998.</w:t>
      </w:r>
      <w:r w:rsidR="00CC564A" w:rsidRPr="00A57F4B">
        <w:rPr>
          <w:lang w:val="en-AU"/>
        </w:rPr>
        <w:t xml:space="preserve"> </w:t>
      </w:r>
      <w:r w:rsidR="00D62423" w:rsidRPr="00A57F4B">
        <w:rPr>
          <w:lang w:val="en-AU"/>
        </w:rPr>
        <w:t>The following is an example of a high-scoring response that was well-signposted</w:t>
      </w:r>
      <w:r w:rsidR="00D55F60" w:rsidRPr="00A57F4B">
        <w:rPr>
          <w:lang w:val="en-AU"/>
        </w:rPr>
        <w:t xml:space="preserve"> and </w:t>
      </w:r>
      <w:r w:rsidR="00D62423" w:rsidRPr="00A57F4B">
        <w:rPr>
          <w:lang w:val="en-AU"/>
        </w:rPr>
        <w:t>drew on the students’ own knowledge and the source provided as evidence.</w:t>
      </w:r>
    </w:p>
    <w:p w14:paraId="165B2ECD" w14:textId="31EE9ED8" w:rsidR="00A2326A" w:rsidRPr="00A57F4B" w:rsidRDefault="00A2326A" w:rsidP="00B46840">
      <w:pPr>
        <w:pStyle w:val="VCAAstudentexample"/>
        <w:ind w:left="284"/>
      </w:pPr>
      <w:r w:rsidRPr="00A57F4B">
        <w:t>There were many changes that occurred as a result of the anti-nuclear protests.</w:t>
      </w:r>
      <w:r w:rsidR="00CC564A" w:rsidRPr="00A57F4B">
        <w:t xml:space="preserve"> </w:t>
      </w:r>
      <w:r w:rsidRPr="00A57F4B">
        <w:t>One change was Australia, along with other countries, taking France to the International Court of Justice in 1973 over their nuclear testing in the Pacific.</w:t>
      </w:r>
      <w:r w:rsidR="00CC564A" w:rsidRPr="00A57F4B">
        <w:t xml:space="preserve"> </w:t>
      </w:r>
      <w:r w:rsidRPr="00A57F4B">
        <w:t>Anti-nuclear protesters were upset that “bilateral negotiations continued as normal” and when Gough Whitlam was elected, he brought France to the ICJ at the demands of the protesters.</w:t>
      </w:r>
      <w:r w:rsidR="00CC564A" w:rsidRPr="00A57F4B">
        <w:t xml:space="preserve"> </w:t>
      </w:r>
      <w:r w:rsidRPr="00A57F4B">
        <w:t>Another change was helping to prevent Australia from becoming the “earth’s largest uranium producers and exporters” (s4).</w:t>
      </w:r>
      <w:r w:rsidR="00CC564A" w:rsidRPr="00A57F4B">
        <w:t xml:space="preserve"> </w:t>
      </w:r>
      <w:r w:rsidRPr="00A57F4B">
        <w:t>Increased protests from groups such as Friends of the Earth, who were a “radical ecology group” (FOE press release) became increasingly vocal and active and in anti-nuclear campaigns.</w:t>
      </w:r>
      <w:r w:rsidR="00CC564A" w:rsidRPr="00A57F4B">
        <w:t xml:space="preserve"> </w:t>
      </w:r>
      <w:r w:rsidRPr="00A57F4B">
        <w:t>Mass rallies in 1976 and 1977 saw “fifty thousand people” protest and Palm Sunday in 1982 saw 100 000 people.</w:t>
      </w:r>
      <w:r w:rsidR="00CC564A" w:rsidRPr="00A57F4B">
        <w:t xml:space="preserve"> </w:t>
      </w:r>
      <w:r w:rsidRPr="00A57F4B">
        <w:t>The creation of the Nuclear Disarmament Party in 1982 also helped, winning 7.23% of the vote in the 1984 election.</w:t>
      </w:r>
      <w:r w:rsidR="00CC564A" w:rsidRPr="00A57F4B">
        <w:t xml:space="preserve"> </w:t>
      </w:r>
      <w:r w:rsidRPr="00A57F4B">
        <w:t xml:space="preserve">Finally, the Chernobyl disaster in 1986 also </w:t>
      </w:r>
      <w:r w:rsidR="00D529FC" w:rsidRPr="00A57F4B">
        <w:t>contributed to</w:t>
      </w:r>
      <w:r w:rsidRPr="00A57F4B">
        <w:t xml:space="preserve"> Australia reduc</w:t>
      </w:r>
      <w:r w:rsidR="00D529FC" w:rsidRPr="00A57F4B">
        <w:t>ing</w:t>
      </w:r>
      <w:r w:rsidRPr="00A57F4B">
        <w:t xml:space="preserve"> its uranium production and exports.</w:t>
      </w:r>
    </w:p>
    <w:p w14:paraId="73BBD5AF" w14:textId="576E06B9" w:rsidR="00C90329" w:rsidRPr="00A57F4B" w:rsidRDefault="005566E0" w:rsidP="00D11C36">
      <w:pPr>
        <w:pStyle w:val="VCAAHeading3"/>
        <w:rPr>
          <w:lang w:val="en-AU"/>
        </w:rPr>
      </w:pPr>
      <w:r w:rsidRPr="00A57F4B">
        <w:rPr>
          <w:lang w:val="en-AU"/>
        </w:rPr>
        <w:t>Question 1e.</w:t>
      </w:r>
    </w:p>
    <w:tbl>
      <w:tblPr>
        <w:tblStyle w:val="VCAATableClosed"/>
        <w:tblW w:w="9360" w:type="dxa"/>
        <w:tblLook w:val="01E0" w:firstRow="1" w:lastRow="1" w:firstColumn="1" w:lastColumn="1" w:noHBand="0" w:noVBand="0"/>
      </w:tblPr>
      <w:tblGrid>
        <w:gridCol w:w="720"/>
        <w:gridCol w:w="709"/>
        <w:gridCol w:w="706"/>
        <w:gridCol w:w="709"/>
        <w:gridCol w:w="705"/>
        <w:gridCol w:w="705"/>
        <w:gridCol w:w="708"/>
        <w:gridCol w:w="708"/>
        <w:gridCol w:w="708"/>
        <w:gridCol w:w="705"/>
        <w:gridCol w:w="705"/>
        <w:gridCol w:w="708"/>
        <w:gridCol w:w="864"/>
      </w:tblGrid>
      <w:tr w:rsidR="007838F5" w:rsidRPr="00A57F4B" w14:paraId="676018B4"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3F11FD0A" w14:textId="77777777" w:rsidR="00C20A13" w:rsidRPr="00A57F4B" w:rsidRDefault="00C20A13" w:rsidP="00A57F4B">
            <w:pPr>
              <w:pStyle w:val="VCAAtablecondensedheading"/>
              <w:rPr>
                <w:lang w:val="en-AU"/>
              </w:rPr>
            </w:pPr>
            <w:r w:rsidRPr="00A57F4B">
              <w:rPr>
                <w:lang w:val="en-AU"/>
              </w:rPr>
              <w:t>Marks</w:t>
            </w:r>
          </w:p>
        </w:tc>
        <w:tc>
          <w:tcPr>
            <w:tcW w:w="720" w:type="dxa"/>
          </w:tcPr>
          <w:p w14:paraId="30252E64" w14:textId="77777777" w:rsidR="00C20A13" w:rsidRPr="00A57F4B" w:rsidRDefault="00C20A13" w:rsidP="00A57F4B">
            <w:pPr>
              <w:pStyle w:val="VCAAtablecondensedheading"/>
              <w:rPr>
                <w:lang w:val="en-AU"/>
              </w:rPr>
            </w:pPr>
            <w:r w:rsidRPr="00A57F4B">
              <w:rPr>
                <w:lang w:val="en-AU"/>
              </w:rPr>
              <w:t>0</w:t>
            </w:r>
          </w:p>
        </w:tc>
        <w:tc>
          <w:tcPr>
            <w:tcW w:w="720" w:type="dxa"/>
          </w:tcPr>
          <w:p w14:paraId="1D71904A" w14:textId="77777777" w:rsidR="00C20A13" w:rsidRPr="00A57F4B" w:rsidRDefault="00C20A13" w:rsidP="00A57F4B">
            <w:pPr>
              <w:pStyle w:val="VCAAtablecondensedheading"/>
              <w:rPr>
                <w:lang w:val="en-AU"/>
              </w:rPr>
            </w:pPr>
            <w:r w:rsidRPr="00A57F4B">
              <w:rPr>
                <w:lang w:val="en-AU"/>
              </w:rPr>
              <w:t>1</w:t>
            </w:r>
          </w:p>
        </w:tc>
        <w:tc>
          <w:tcPr>
            <w:tcW w:w="720" w:type="dxa"/>
          </w:tcPr>
          <w:p w14:paraId="28B9382F" w14:textId="77777777" w:rsidR="00C20A13" w:rsidRPr="00A57F4B" w:rsidRDefault="00C20A13" w:rsidP="00A57F4B">
            <w:pPr>
              <w:pStyle w:val="VCAAtablecondensedheading"/>
              <w:rPr>
                <w:lang w:val="en-AU"/>
              </w:rPr>
            </w:pPr>
            <w:r w:rsidRPr="00A57F4B">
              <w:rPr>
                <w:lang w:val="en-AU"/>
              </w:rPr>
              <w:t>2</w:t>
            </w:r>
          </w:p>
        </w:tc>
        <w:tc>
          <w:tcPr>
            <w:tcW w:w="720" w:type="dxa"/>
          </w:tcPr>
          <w:p w14:paraId="64AD199F" w14:textId="77777777" w:rsidR="00C20A13" w:rsidRPr="00A57F4B" w:rsidRDefault="00C20A13" w:rsidP="00A57F4B">
            <w:pPr>
              <w:pStyle w:val="VCAAtablecondensedheading"/>
              <w:rPr>
                <w:lang w:val="en-AU"/>
              </w:rPr>
            </w:pPr>
            <w:r w:rsidRPr="00A57F4B">
              <w:rPr>
                <w:lang w:val="en-AU"/>
              </w:rPr>
              <w:t>3</w:t>
            </w:r>
          </w:p>
        </w:tc>
        <w:tc>
          <w:tcPr>
            <w:tcW w:w="720" w:type="dxa"/>
          </w:tcPr>
          <w:p w14:paraId="5FBCCB97" w14:textId="77777777" w:rsidR="00C20A13" w:rsidRPr="00A57F4B" w:rsidRDefault="00C20A13" w:rsidP="00A57F4B">
            <w:pPr>
              <w:pStyle w:val="VCAAtablecondensedheading"/>
              <w:rPr>
                <w:lang w:val="en-AU"/>
              </w:rPr>
            </w:pPr>
            <w:r w:rsidRPr="00A57F4B">
              <w:rPr>
                <w:lang w:val="en-AU"/>
              </w:rPr>
              <w:t>4</w:t>
            </w:r>
          </w:p>
        </w:tc>
        <w:tc>
          <w:tcPr>
            <w:tcW w:w="720" w:type="dxa"/>
          </w:tcPr>
          <w:p w14:paraId="68DB5019" w14:textId="77777777" w:rsidR="00C20A13" w:rsidRPr="00A57F4B" w:rsidRDefault="00C20A13" w:rsidP="00A57F4B">
            <w:pPr>
              <w:pStyle w:val="VCAAtablecondensedheading"/>
              <w:rPr>
                <w:lang w:val="en-AU"/>
              </w:rPr>
            </w:pPr>
            <w:r w:rsidRPr="00A57F4B">
              <w:rPr>
                <w:lang w:val="en-AU"/>
              </w:rPr>
              <w:t>5</w:t>
            </w:r>
          </w:p>
        </w:tc>
        <w:tc>
          <w:tcPr>
            <w:tcW w:w="720" w:type="dxa"/>
          </w:tcPr>
          <w:p w14:paraId="409CACAB" w14:textId="77777777" w:rsidR="00C20A13" w:rsidRPr="00A57F4B" w:rsidRDefault="00C20A13" w:rsidP="00A57F4B">
            <w:pPr>
              <w:pStyle w:val="VCAAtablecondensedheading"/>
              <w:rPr>
                <w:lang w:val="en-AU"/>
              </w:rPr>
            </w:pPr>
            <w:r w:rsidRPr="00A57F4B">
              <w:rPr>
                <w:lang w:val="en-AU"/>
              </w:rPr>
              <w:t>6</w:t>
            </w:r>
          </w:p>
        </w:tc>
        <w:tc>
          <w:tcPr>
            <w:tcW w:w="720" w:type="dxa"/>
          </w:tcPr>
          <w:p w14:paraId="124BB789" w14:textId="0E7F4E3D" w:rsidR="00C20A13" w:rsidRPr="00A57F4B" w:rsidRDefault="00C20A13" w:rsidP="00A57F4B">
            <w:pPr>
              <w:pStyle w:val="VCAAtablecondensedheading"/>
              <w:rPr>
                <w:lang w:val="en-AU"/>
              </w:rPr>
            </w:pPr>
            <w:r w:rsidRPr="00A57F4B">
              <w:rPr>
                <w:lang w:val="en-AU"/>
              </w:rPr>
              <w:t>7</w:t>
            </w:r>
          </w:p>
        </w:tc>
        <w:tc>
          <w:tcPr>
            <w:tcW w:w="720" w:type="dxa"/>
          </w:tcPr>
          <w:p w14:paraId="7DCCBC50" w14:textId="084D6D71" w:rsidR="00C20A13" w:rsidRPr="00A57F4B" w:rsidRDefault="00C20A13" w:rsidP="00A57F4B">
            <w:pPr>
              <w:pStyle w:val="VCAAtablecondensedheading"/>
              <w:rPr>
                <w:lang w:val="en-AU"/>
              </w:rPr>
            </w:pPr>
            <w:r w:rsidRPr="00A57F4B">
              <w:rPr>
                <w:lang w:val="en-AU"/>
              </w:rPr>
              <w:t>8</w:t>
            </w:r>
          </w:p>
        </w:tc>
        <w:tc>
          <w:tcPr>
            <w:tcW w:w="720" w:type="dxa"/>
          </w:tcPr>
          <w:p w14:paraId="32613616" w14:textId="5E6D70BA" w:rsidR="00C20A13" w:rsidRPr="00A57F4B" w:rsidRDefault="00C20A13" w:rsidP="00A57F4B">
            <w:pPr>
              <w:pStyle w:val="VCAAtablecondensedheading"/>
              <w:rPr>
                <w:lang w:val="en-AU"/>
              </w:rPr>
            </w:pPr>
            <w:r w:rsidRPr="00A57F4B">
              <w:rPr>
                <w:lang w:val="en-AU"/>
              </w:rPr>
              <w:t>9</w:t>
            </w:r>
          </w:p>
        </w:tc>
        <w:tc>
          <w:tcPr>
            <w:tcW w:w="720" w:type="dxa"/>
          </w:tcPr>
          <w:p w14:paraId="5664A88E" w14:textId="2FB918D8" w:rsidR="00C20A13" w:rsidRPr="00A57F4B" w:rsidRDefault="00C20A13" w:rsidP="00A57F4B">
            <w:pPr>
              <w:pStyle w:val="VCAAtablecondensedheading"/>
              <w:rPr>
                <w:lang w:val="en-AU"/>
              </w:rPr>
            </w:pPr>
            <w:r w:rsidRPr="00A57F4B">
              <w:rPr>
                <w:lang w:val="en-AU"/>
              </w:rPr>
              <w:t>10</w:t>
            </w:r>
          </w:p>
        </w:tc>
        <w:tc>
          <w:tcPr>
            <w:tcW w:w="720" w:type="dxa"/>
          </w:tcPr>
          <w:p w14:paraId="5598F0F0" w14:textId="393DC8C3" w:rsidR="00C20A13" w:rsidRPr="00A57F4B" w:rsidRDefault="00C20A13" w:rsidP="00A57F4B">
            <w:pPr>
              <w:pStyle w:val="VCAAtablecondensedheading"/>
              <w:rPr>
                <w:lang w:val="en-AU"/>
              </w:rPr>
            </w:pPr>
            <w:r w:rsidRPr="00A57F4B">
              <w:rPr>
                <w:lang w:val="en-AU"/>
              </w:rPr>
              <w:t>Average</w:t>
            </w:r>
          </w:p>
        </w:tc>
      </w:tr>
      <w:tr w:rsidR="007838F5" w:rsidRPr="00A57F4B" w14:paraId="2F96E693" w14:textId="77777777" w:rsidTr="007838F5">
        <w:trPr>
          <w:trHeight w:hRule="exact" w:val="397"/>
        </w:trPr>
        <w:tc>
          <w:tcPr>
            <w:tcW w:w="720" w:type="dxa"/>
          </w:tcPr>
          <w:p w14:paraId="6CA09258" w14:textId="77777777" w:rsidR="00C20A13" w:rsidRPr="00A57F4B" w:rsidRDefault="00C20A13" w:rsidP="00A57F4B">
            <w:pPr>
              <w:pStyle w:val="VCAAtablecondensed"/>
              <w:rPr>
                <w:lang w:val="en-AU"/>
              </w:rPr>
            </w:pPr>
            <w:r w:rsidRPr="00A57F4B">
              <w:rPr>
                <w:lang w:val="en-AU"/>
              </w:rPr>
              <w:t>%</w:t>
            </w:r>
          </w:p>
        </w:tc>
        <w:tc>
          <w:tcPr>
            <w:tcW w:w="720" w:type="dxa"/>
            <w:vAlign w:val="center"/>
          </w:tcPr>
          <w:p w14:paraId="671B3BD1" w14:textId="25559262" w:rsidR="00C20A13" w:rsidRPr="00A57F4B" w:rsidRDefault="00410D89" w:rsidP="00A57F4B">
            <w:pPr>
              <w:pStyle w:val="VCAAtablecondensedheading"/>
              <w:rPr>
                <w:color w:val="000000" w:themeColor="text1"/>
                <w:lang w:val="en-AU"/>
              </w:rPr>
            </w:pPr>
            <w:r w:rsidRPr="00A57F4B">
              <w:rPr>
                <w:color w:val="000000" w:themeColor="text1"/>
                <w:lang w:val="en-AU"/>
              </w:rPr>
              <w:t>15</w:t>
            </w:r>
          </w:p>
        </w:tc>
        <w:tc>
          <w:tcPr>
            <w:tcW w:w="720" w:type="dxa"/>
            <w:vAlign w:val="center"/>
          </w:tcPr>
          <w:p w14:paraId="1AD2B8E3" w14:textId="795E4FB0" w:rsidR="00C20A13" w:rsidRPr="00A57F4B" w:rsidRDefault="00410D89" w:rsidP="00A57F4B">
            <w:pPr>
              <w:pStyle w:val="VCAAtablecondensedheading"/>
              <w:rPr>
                <w:color w:val="000000" w:themeColor="text1"/>
                <w:lang w:val="en-AU"/>
              </w:rPr>
            </w:pPr>
            <w:r w:rsidRPr="00A57F4B">
              <w:rPr>
                <w:color w:val="000000" w:themeColor="text1"/>
                <w:lang w:val="en-AU"/>
              </w:rPr>
              <w:t>6</w:t>
            </w:r>
          </w:p>
        </w:tc>
        <w:tc>
          <w:tcPr>
            <w:tcW w:w="720" w:type="dxa"/>
            <w:vAlign w:val="center"/>
          </w:tcPr>
          <w:p w14:paraId="210BAEE3" w14:textId="5A3E29D0" w:rsidR="00C20A13" w:rsidRPr="00A57F4B" w:rsidRDefault="00410D89" w:rsidP="00A57F4B">
            <w:pPr>
              <w:pStyle w:val="VCAAtablecondensedheading"/>
              <w:rPr>
                <w:color w:val="000000" w:themeColor="text1"/>
                <w:lang w:val="en-AU"/>
              </w:rPr>
            </w:pPr>
            <w:r w:rsidRPr="00A57F4B">
              <w:rPr>
                <w:color w:val="000000" w:themeColor="text1"/>
                <w:lang w:val="en-AU"/>
              </w:rPr>
              <w:t>10</w:t>
            </w:r>
          </w:p>
        </w:tc>
        <w:tc>
          <w:tcPr>
            <w:tcW w:w="720" w:type="dxa"/>
          </w:tcPr>
          <w:p w14:paraId="58410CCF" w14:textId="5B20FA11" w:rsidR="00C20A13" w:rsidRPr="00A57F4B" w:rsidRDefault="00410D89" w:rsidP="00A57F4B">
            <w:pPr>
              <w:pStyle w:val="VCAAtablecondensedheading"/>
              <w:rPr>
                <w:color w:val="000000" w:themeColor="text1"/>
                <w:lang w:val="en-AU"/>
              </w:rPr>
            </w:pPr>
            <w:r w:rsidRPr="00A57F4B">
              <w:rPr>
                <w:color w:val="000000" w:themeColor="text1"/>
                <w:lang w:val="en-AU"/>
              </w:rPr>
              <w:t>6</w:t>
            </w:r>
          </w:p>
        </w:tc>
        <w:tc>
          <w:tcPr>
            <w:tcW w:w="720" w:type="dxa"/>
          </w:tcPr>
          <w:p w14:paraId="529552F1" w14:textId="1F64C27D" w:rsidR="00C20A13" w:rsidRPr="00A57F4B" w:rsidRDefault="00410D89" w:rsidP="00A57F4B">
            <w:pPr>
              <w:pStyle w:val="VCAAtablecondensedheading"/>
              <w:rPr>
                <w:color w:val="000000" w:themeColor="text1"/>
                <w:lang w:val="en-AU"/>
              </w:rPr>
            </w:pPr>
            <w:r w:rsidRPr="00A57F4B">
              <w:rPr>
                <w:color w:val="000000" w:themeColor="text1"/>
                <w:lang w:val="en-AU"/>
              </w:rPr>
              <w:t>9</w:t>
            </w:r>
          </w:p>
        </w:tc>
        <w:tc>
          <w:tcPr>
            <w:tcW w:w="720" w:type="dxa"/>
          </w:tcPr>
          <w:p w14:paraId="459BB70D" w14:textId="6C088702" w:rsidR="00C20A13" w:rsidRPr="00A57F4B" w:rsidRDefault="00410D89" w:rsidP="00A57F4B">
            <w:pPr>
              <w:pStyle w:val="VCAAtablecondensedheading"/>
              <w:rPr>
                <w:color w:val="000000" w:themeColor="text1"/>
                <w:lang w:val="en-AU"/>
              </w:rPr>
            </w:pPr>
            <w:r w:rsidRPr="00A57F4B">
              <w:rPr>
                <w:color w:val="000000" w:themeColor="text1"/>
                <w:lang w:val="en-AU"/>
              </w:rPr>
              <w:t>14</w:t>
            </w:r>
          </w:p>
        </w:tc>
        <w:tc>
          <w:tcPr>
            <w:tcW w:w="720" w:type="dxa"/>
          </w:tcPr>
          <w:p w14:paraId="01CA3CDA" w14:textId="1A4B851C" w:rsidR="00C20A13" w:rsidRPr="00A57F4B" w:rsidRDefault="00410D89" w:rsidP="00A57F4B">
            <w:pPr>
              <w:pStyle w:val="VCAAtablecondensedheading"/>
              <w:rPr>
                <w:color w:val="000000" w:themeColor="text1"/>
                <w:lang w:val="en-AU"/>
              </w:rPr>
            </w:pPr>
            <w:r w:rsidRPr="00A57F4B">
              <w:rPr>
                <w:color w:val="000000" w:themeColor="text1"/>
                <w:lang w:val="en-AU"/>
              </w:rPr>
              <w:t>12</w:t>
            </w:r>
          </w:p>
        </w:tc>
        <w:tc>
          <w:tcPr>
            <w:tcW w:w="720" w:type="dxa"/>
          </w:tcPr>
          <w:p w14:paraId="0852FFEA" w14:textId="6BB3C2B8" w:rsidR="00C20A13" w:rsidRPr="00A57F4B" w:rsidRDefault="00410D89" w:rsidP="00A57F4B">
            <w:pPr>
              <w:pStyle w:val="VCAAtablecondensedheading"/>
              <w:rPr>
                <w:color w:val="000000" w:themeColor="text1"/>
                <w:lang w:val="en-AU"/>
              </w:rPr>
            </w:pPr>
            <w:r w:rsidRPr="00A57F4B">
              <w:rPr>
                <w:color w:val="000000" w:themeColor="text1"/>
                <w:lang w:val="en-AU"/>
              </w:rPr>
              <w:t>13</w:t>
            </w:r>
          </w:p>
        </w:tc>
        <w:tc>
          <w:tcPr>
            <w:tcW w:w="720" w:type="dxa"/>
          </w:tcPr>
          <w:p w14:paraId="73306D07" w14:textId="051C3A2F" w:rsidR="00C20A13" w:rsidRPr="00A57F4B" w:rsidRDefault="00410D89" w:rsidP="00A57F4B">
            <w:pPr>
              <w:pStyle w:val="VCAAtablecondensedheading"/>
              <w:rPr>
                <w:color w:val="000000" w:themeColor="text1"/>
                <w:lang w:val="en-AU"/>
              </w:rPr>
            </w:pPr>
            <w:r w:rsidRPr="00A57F4B">
              <w:rPr>
                <w:color w:val="000000" w:themeColor="text1"/>
                <w:lang w:val="en-AU"/>
              </w:rPr>
              <w:t>9</w:t>
            </w:r>
          </w:p>
        </w:tc>
        <w:tc>
          <w:tcPr>
            <w:tcW w:w="720" w:type="dxa"/>
          </w:tcPr>
          <w:p w14:paraId="23D38827" w14:textId="1CFAF696" w:rsidR="00C20A13" w:rsidRPr="00A57F4B" w:rsidRDefault="00410D89" w:rsidP="00A57F4B">
            <w:pPr>
              <w:pStyle w:val="VCAAtablecondensedheading"/>
              <w:rPr>
                <w:color w:val="000000" w:themeColor="text1"/>
                <w:lang w:val="en-AU"/>
              </w:rPr>
            </w:pPr>
            <w:r w:rsidRPr="00A57F4B">
              <w:rPr>
                <w:color w:val="000000" w:themeColor="text1"/>
                <w:lang w:val="en-AU"/>
              </w:rPr>
              <w:t>4</w:t>
            </w:r>
          </w:p>
        </w:tc>
        <w:tc>
          <w:tcPr>
            <w:tcW w:w="720" w:type="dxa"/>
          </w:tcPr>
          <w:p w14:paraId="051AF525" w14:textId="4E963D39" w:rsidR="00C20A13" w:rsidRPr="00A57F4B" w:rsidRDefault="00410D89" w:rsidP="00A57F4B">
            <w:pPr>
              <w:pStyle w:val="VCAAtablecondensedheading"/>
              <w:rPr>
                <w:color w:val="000000" w:themeColor="text1"/>
                <w:lang w:val="en-AU"/>
              </w:rPr>
            </w:pPr>
            <w:r w:rsidRPr="00A57F4B">
              <w:rPr>
                <w:color w:val="000000" w:themeColor="text1"/>
                <w:lang w:val="en-AU"/>
              </w:rPr>
              <w:t>4</w:t>
            </w:r>
          </w:p>
        </w:tc>
        <w:tc>
          <w:tcPr>
            <w:tcW w:w="720" w:type="dxa"/>
          </w:tcPr>
          <w:p w14:paraId="468D237A" w14:textId="01675D82" w:rsidR="00C20A13" w:rsidRPr="00A57F4B" w:rsidRDefault="00410D89" w:rsidP="00A57F4B">
            <w:pPr>
              <w:pStyle w:val="VCAAtablecondensedheading"/>
              <w:rPr>
                <w:color w:val="000000" w:themeColor="text1"/>
                <w:lang w:val="en-AU"/>
              </w:rPr>
            </w:pPr>
            <w:r w:rsidRPr="00A57F4B">
              <w:rPr>
                <w:color w:val="000000" w:themeColor="text1"/>
                <w:lang w:val="en-AU"/>
              </w:rPr>
              <w:t>4.5</w:t>
            </w:r>
          </w:p>
        </w:tc>
      </w:tr>
    </w:tbl>
    <w:p w14:paraId="7EF14D6D" w14:textId="711EE19E" w:rsidR="00BB64D5" w:rsidRPr="00A57F4B" w:rsidRDefault="00BB64D5" w:rsidP="007838F5">
      <w:pPr>
        <w:pStyle w:val="VCAAbody"/>
        <w:rPr>
          <w:rStyle w:val="VCAAbodyChar"/>
          <w:lang w:val="en-AU"/>
        </w:rPr>
      </w:pPr>
      <w:r w:rsidRPr="00A57F4B">
        <w:rPr>
          <w:rStyle w:val="VCAAbodyChar"/>
          <w:lang w:val="en-AU"/>
        </w:rPr>
        <w:t>Th</w:t>
      </w:r>
      <w:r w:rsidR="006C7EF8" w:rsidRPr="00A57F4B">
        <w:rPr>
          <w:rStyle w:val="VCAAbodyChar"/>
          <w:lang w:val="en-AU"/>
        </w:rPr>
        <w:t>is</w:t>
      </w:r>
      <w:r w:rsidRPr="00A57F4B">
        <w:rPr>
          <w:rStyle w:val="VCAAbodyChar"/>
          <w:lang w:val="en-AU"/>
        </w:rPr>
        <w:t xml:space="preserve"> question required students to </w:t>
      </w:r>
      <w:r w:rsidR="00D529FC" w:rsidRPr="00A57F4B">
        <w:rPr>
          <w:rStyle w:val="VCAAbodyChar"/>
          <w:lang w:val="en-AU"/>
        </w:rPr>
        <w:t>evaluate changing perspectives both on</w:t>
      </w:r>
      <w:r w:rsidRPr="00A57F4B">
        <w:rPr>
          <w:rFonts w:asciiTheme="majorHAnsi" w:eastAsia="Times New Roman" w:hAnsiTheme="majorHAnsi" w:cstheme="majorHAnsi"/>
          <w:b/>
          <w:bCs/>
          <w:szCs w:val="20"/>
          <w:lang w:val="en-AU"/>
        </w:rPr>
        <w:t xml:space="preserve"> </w:t>
      </w:r>
      <w:r w:rsidRPr="00A57F4B">
        <w:rPr>
          <w:rStyle w:val="VCAAbodyChar"/>
          <w:lang w:val="en-AU"/>
        </w:rPr>
        <w:t>conservation and the protection of native habitats across both areas of stud</w:t>
      </w:r>
      <w:r w:rsidR="006C7EF8" w:rsidRPr="00A57F4B">
        <w:rPr>
          <w:rStyle w:val="VCAAbodyChar"/>
          <w:lang w:val="en-AU"/>
        </w:rPr>
        <w:t>y</w:t>
      </w:r>
      <w:r w:rsidRPr="00A57F4B">
        <w:rPr>
          <w:rStyle w:val="VCAAbodyChar"/>
          <w:lang w:val="en-AU"/>
        </w:rPr>
        <w:t>. Some students only addressed one of these</w:t>
      </w:r>
      <w:r w:rsidR="00D529FC" w:rsidRPr="00A57F4B">
        <w:rPr>
          <w:rStyle w:val="VCAAbodyChar"/>
          <w:lang w:val="en-AU"/>
        </w:rPr>
        <w:t xml:space="preserve"> </w:t>
      </w:r>
      <w:r w:rsidR="00D55F60" w:rsidRPr="00A57F4B">
        <w:rPr>
          <w:rStyle w:val="VCAAbodyChar"/>
          <w:lang w:val="en-AU"/>
        </w:rPr>
        <w:t>perspectives</w:t>
      </w:r>
      <w:r w:rsidRPr="00A57F4B">
        <w:rPr>
          <w:rStyle w:val="VCAAbodyChar"/>
          <w:lang w:val="en-AU"/>
        </w:rPr>
        <w:t xml:space="preserve"> or limited their discussion to one area of study. The highest</w:t>
      </w:r>
      <w:r w:rsidR="006C7EF8" w:rsidRPr="00A57F4B">
        <w:rPr>
          <w:rStyle w:val="VCAAbodyChar"/>
          <w:lang w:val="en-AU"/>
        </w:rPr>
        <w:t>-</w:t>
      </w:r>
      <w:r w:rsidRPr="00A57F4B">
        <w:rPr>
          <w:rStyle w:val="VCAAbodyChar"/>
          <w:lang w:val="en-AU"/>
        </w:rPr>
        <w:t xml:space="preserve">scoring responses covered both areas of study </w:t>
      </w:r>
      <w:r w:rsidR="00D529FC" w:rsidRPr="00A57F4B">
        <w:rPr>
          <w:rStyle w:val="VCAAbodyChar"/>
          <w:lang w:val="en-AU"/>
        </w:rPr>
        <w:t>and distinguished between perspectives on conservation and protection of native habits.</w:t>
      </w:r>
      <w:r w:rsidR="00CC564A" w:rsidRPr="00A57F4B">
        <w:rPr>
          <w:rStyle w:val="VCAAbodyChar"/>
          <w:lang w:val="en-AU"/>
        </w:rPr>
        <w:t xml:space="preserve"> </w:t>
      </w:r>
      <w:r w:rsidR="00D529FC" w:rsidRPr="00A57F4B">
        <w:rPr>
          <w:rStyle w:val="VCAAbodyChar"/>
          <w:lang w:val="en-AU"/>
        </w:rPr>
        <w:t>Many responses discussed</w:t>
      </w:r>
      <w:r w:rsidRPr="00A57F4B">
        <w:rPr>
          <w:rStyle w:val="VCAAbodyChar"/>
          <w:lang w:val="en-AU"/>
        </w:rPr>
        <w:t xml:space="preserve"> shifts in perspectives from limited awareness of conservation and protection of endangered </w:t>
      </w:r>
      <w:r w:rsidRPr="00A57F4B">
        <w:rPr>
          <w:rStyle w:val="VCAAbodyChar"/>
          <w:lang w:val="en-AU"/>
        </w:rPr>
        <w:lastRenderedPageBreak/>
        <w:t xml:space="preserve">habitats during colonisation and the gold rushes, to an increasing appreciation of these through the efforts of groups such as the Field Naturalists Club of Victoria, the creation of </w:t>
      </w:r>
      <w:r w:rsidR="000E0220">
        <w:rPr>
          <w:rStyle w:val="VCAAbodyChar"/>
          <w:lang w:val="en-AU"/>
        </w:rPr>
        <w:t>n</w:t>
      </w:r>
      <w:r w:rsidRPr="00A57F4B">
        <w:rPr>
          <w:rStyle w:val="VCAAbodyChar"/>
          <w:lang w:val="en-AU"/>
        </w:rPr>
        <w:t xml:space="preserve">ational </w:t>
      </w:r>
      <w:r w:rsidR="000E0220">
        <w:rPr>
          <w:rStyle w:val="VCAAbodyChar"/>
          <w:lang w:val="en-AU"/>
        </w:rPr>
        <w:t>p</w:t>
      </w:r>
      <w:r w:rsidRPr="00A57F4B">
        <w:rPr>
          <w:rStyle w:val="VCAAbodyChar"/>
          <w:lang w:val="en-AU"/>
        </w:rPr>
        <w:t xml:space="preserve">arks and the emerging conservation movement after 1950. Campaigns such as the Little Desert campaign, the introduction of legislation such as the </w:t>
      </w:r>
      <w:r w:rsidRPr="00A57F4B">
        <w:rPr>
          <w:rStyle w:val="VCAAbodyChar"/>
          <w:i/>
          <w:iCs/>
          <w:lang w:val="en-AU"/>
        </w:rPr>
        <w:t>Wildlife Act</w:t>
      </w:r>
      <w:r w:rsidRPr="00A57F4B">
        <w:rPr>
          <w:rStyle w:val="VCAAbodyChar"/>
          <w:lang w:val="en-AU"/>
        </w:rPr>
        <w:t xml:space="preserve"> </w:t>
      </w:r>
      <w:r w:rsidRPr="007838F5">
        <w:rPr>
          <w:rStyle w:val="VCAAbodyChar"/>
          <w:i/>
          <w:iCs/>
          <w:lang w:val="en-AU"/>
        </w:rPr>
        <w:t>1975</w:t>
      </w:r>
      <w:r w:rsidRPr="00A57F4B">
        <w:rPr>
          <w:rStyle w:val="VCAAbodyChar"/>
          <w:lang w:val="en-AU"/>
        </w:rPr>
        <w:t xml:space="preserve"> in Victoria</w:t>
      </w:r>
      <w:r w:rsidR="008D0A92" w:rsidRPr="00A57F4B">
        <w:rPr>
          <w:rStyle w:val="VCAAbodyChar"/>
          <w:lang w:val="en-AU"/>
        </w:rPr>
        <w:t>,</w:t>
      </w:r>
      <w:r w:rsidRPr="00A57F4B">
        <w:rPr>
          <w:rStyle w:val="VCAAbodyChar"/>
          <w:lang w:val="en-AU"/>
        </w:rPr>
        <w:t xml:space="preserve"> and the Landcare movement, </w:t>
      </w:r>
      <w:r w:rsidR="008D0A92" w:rsidRPr="00A57F4B">
        <w:rPr>
          <w:rStyle w:val="VCAAbodyChar"/>
          <w:lang w:val="en-AU"/>
        </w:rPr>
        <w:t xml:space="preserve">were </w:t>
      </w:r>
      <w:r w:rsidRPr="00A57F4B">
        <w:rPr>
          <w:rStyle w:val="VCAAbodyChar"/>
          <w:lang w:val="en-AU"/>
        </w:rPr>
        <w:t xml:space="preserve">given federal support by Bob Hawke in 1989. The most sophisticated evaluations recognised that these post-1950 changes in perspective were contested and included critiques of the environmental movement from figures such as Hugh Morgan. Historians such as Geoffrey Blainey, Frank </w:t>
      </w:r>
      <w:proofErr w:type="spellStart"/>
      <w:r w:rsidRPr="00A57F4B">
        <w:rPr>
          <w:rStyle w:val="VCAAbodyChar"/>
          <w:lang w:val="en-AU"/>
        </w:rPr>
        <w:t>Bongiorno</w:t>
      </w:r>
      <w:proofErr w:type="spellEnd"/>
      <w:r w:rsidRPr="00A57F4B">
        <w:rPr>
          <w:rStyle w:val="VCAAbodyChar"/>
          <w:lang w:val="en-AU"/>
        </w:rPr>
        <w:t xml:space="preserve"> and Libby Robin were often used to support student responses.</w:t>
      </w:r>
    </w:p>
    <w:p w14:paraId="05513037" w14:textId="46A8B998" w:rsidR="00E97BD4" w:rsidRPr="00A57F4B" w:rsidRDefault="00D529FC" w:rsidP="00A45B23">
      <w:pPr>
        <w:pStyle w:val="VCAAstudentexample"/>
        <w:rPr>
          <w:i w:val="0"/>
          <w:iCs/>
        </w:rPr>
      </w:pPr>
      <w:r w:rsidRPr="00A57F4B">
        <w:rPr>
          <w:i w:val="0"/>
          <w:iCs/>
        </w:rPr>
        <w:t>The following high</w:t>
      </w:r>
      <w:r w:rsidR="000E0220">
        <w:rPr>
          <w:i w:val="0"/>
          <w:iCs/>
        </w:rPr>
        <w:t>-</w:t>
      </w:r>
      <w:r w:rsidRPr="00A57F4B">
        <w:rPr>
          <w:i w:val="0"/>
          <w:iCs/>
        </w:rPr>
        <w:t>scoring response notes changing attitudes towards conservation in the 19</w:t>
      </w:r>
      <w:r w:rsidRPr="007838F5">
        <w:rPr>
          <w:i w:val="0"/>
          <w:iCs/>
        </w:rPr>
        <w:t>th</w:t>
      </w:r>
      <w:r w:rsidRPr="00A57F4B">
        <w:rPr>
          <w:i w:val="0"/>
          <w:iCs/>
        </w:rPr>
        <w:t xml:space="preserve"> century and shifts the focus to preservation of native habitats during the 20</w:t>
      </w:r>
      <w:r w:rsidRPr="007838F5">
        <w:rPr>
          <w:i w:val="0"/>
          <w:iCs/>
        </w:rPr>
        <w:t>th</w:t>
      </w:r>
      <w:r w:rsidRPr="00A57F4B">
        <w:rPr>
          <w:i w:val="0"/>
          <w:iCs/>
        </w:rPr>
        <w:t xml:space="preserve"> century in the second paragraph, followed by an acknowledgment of contrasting perspectives held during that time, challenging the degree to which attitudes had shifted since the period of the gold rushes.</w:t>
      </w:r>
    </w:p>
    <w:p w14:paraId="74BD86F5" w14:textId="66327B98" w:rsidR="00E97BD4" w:rsidRPr="00A57F4B" w:rsidRDefault="00E97BD4" w:rsidP="00B46840">
      <w:pPr>
        <w:pStyle w:val="VCAAstudentexample"/>
        <w:ind w:left="284"/>
      </w:pPr>
      <w:r w:rsidRPr="00A57F4B">
        <w:t>Perspectives on conservation and the protection of endangered habitats changed between 1850 and 2010 to a significant extent.</w:t>
      </w:r>
      <w:r w:rsidR="00CC564A" w:rsidRPr="00A57F4B">
        <w:t xml:space="preserve"> </w:t>
      </w:r>
      <w:r w:rsidRPr="00A57F4B">
        <w:t>In a post gold rush era, many people had leisure time and could travel Australia.</w:t>
      </w:r>
      <w:r w:rsidR="00CC564A" w:rsidRPr="00A57F4B">
        <w:t xml:space="preserve"> </w:t>
      </w:r>
      <w:r w:rsidRPr="00A57F4B">
        <w:t>This ‘pursuit of wonder’ (Horne) was influenced by a growing appreciation of the sublime, influenced by writings of Thoreau and Marsh.</w:t>
      </w:r>
      <w:r w:rsidR="00CC564A" w:rsidRPr="00A57F4B">
        <w:t xml:space="preserve"> </w:t>
      </w:r>
      <w:r w:rsidRPr="00A57F4B">
        <w:t>They were also influenced by local ideas with the Heidelberg School’s changing ideas of the land with the air such as Golden Summer.</w:t>
      </w:r>
      <w:r w:rsidR="00CC564A" w:rsidRPr="00A57F4B">
        <w:t xml:space="preserve"> </w:t>
      </w:r>
      <w:r w:rsidRPr="00A57F4B">
        <w:t>This encouraged greater conservation, with groups like the Field Naturalists Club in Victoria, formed in 1880.</w:t>
      </w:r>
      <w:r w:rsidR="00CC564A" w:rsidRPr="00A57F4B">
        <w:t xml:space="preserve"> </w:t>
      </w:r>
      <w:r w:rsidRPr="00A57F4B">
        <w:t>The creation of national parks helped to conserve the environment, such as Royal National Park created in 1879 in Sydney and Tower Hill in 1892 in Victoria.</w:t>
      </w:r>
      <w:r w:rsidR="00CC564A" w:rsidRPr="00A57F4B">
        <w:t xml:space="preserve"> </w:t>
      </w:r>
      <w:r w:rsidRPr="00A57F4B">
        <w:t>This allowed for endangered habitats to be protected so that they could be enjoyed.</w:t>
      </w:r>
    </w:p>
    <w:p w14:paraId="5F41AF16" w14:textId="4FD4558A" w:rsidR="00E97BD4" w:rsidRPr="00A57F4B" w:rsidRDefault="00E97BD4" w:rsidP="00262870">
      <w:pPr>
        <w:pStyle w:val="VCAAstudentexample"/>
        <w:ind w:left="284"/>
      </w:pPr>
      <w:r w:rsidRPr="00A57F4B">
        <w:t>A new form of conservation began to emerge in the 1950s and 1960s, influenced by key writings.</w:t>
      </w:r>
      <w:r w:rsidR="00CC564A" w:rsidRPr="00A57F4B">
        <w:t xml:space="preserve"> </w:t>
      </w:r>
      <w:r w:rsidRPr="00A57F4B">
        <w:t xml:space="preserve">Rachel Carson’s 1962 “Silent Spring” brought worldwide attention to the danger of toxins and </w:t>
      </w:r>
      <w:proofErr w:type="gramStart"/>
      <w:r w:rsidRPr="00A57F4B">
        <w:t>humans</w:t>
      </w:r>
      <w:proofErr w:type="gramEnd"/>
      <w:r w:rsidRPr="00A57F4B">
        <w:t xml:space="preserve"> overall impact on nature.</w:t>
      </w:r>
      <w:r w:rsidR="00CC564A" w:rsidRPr="00A57F4B">
        <w:t xml:space="preserve"> </w:t>
      </w:r>
      <w:r w:rsidRPr="00A57F4B">
        <w:t>This helped create the Environmental Protection Agency in America in 1970.</w:t>
      </w:r>
      <w:r w:rsidR="00CC564A" w:rsidRPr="00A57F4B">
        <w:t xml:space="preserve"> </w:t>
      </w:r>
      <w:r w:rsidRPr="00A57F4B">
        <w:t>This helped encourage the protection of endangered habitats in Australia.</w:t>
      </w:r>
      <w:r w:rsidR="00CC564A" w:rsidRPr="00A57F4B">
        <w:t xml:space="preserve"> </w:t>
      </w:r>
      <w:r w:rsidRPr="00A57F4B">
        <w:t>Judith Wright also contributed t</w:t>
      </w:r>
      <w:r w:rsidR="006B73F5">
        <w:t>o</w:t>
      </w:r>
      <w:r w:rsidRPr="00A57F4B">
        <w:t xml:space="preserve"> this, with writing such as “Coral Battle” focusing on the protection of the Great Barrier Reef.</w:t>
      </w:r>
      <w:r w:rsidR="00CC564A" w:rsidRPr="00A57F4B">
        <w:t xml:space="preserve"> </w:t>
      </w:r>
      <w:r w:rsidRPr="00A57F4B">
        <w:t>She engaged feelings and emotions as she believed that they “swung public opinion” which helped to contribute to the protection of the Great Barrier Reef.</w:t>
      </w:r>
    </w:p>
    <w:p w14:paraId="1A0CE110" w14:textId="23C14AA0" w:rsidR="00E97BD4" w:rsidRPr="00A57F4B" w:rsidRDefault="00E97BD4" w:rsidP="00262870">
      <w:pPr>
        <w:pStyle w:val="VCAAstudentexample"/>
        <w:ind w:left="284"/>
      </w:pPr>
      <w:r w:rsidRPr="00A57F4B">
        <w:t>However, perspectives didn’t always completely change.</w:t>
      </w:r>
      <w:r w:rsidR="00CC564A" w:rsidRPr="00A57F4B">
        <w:t xml:space="preserve"> </w:t>
      </w:r>
      <w:r w:rsidRPr="00A57F4B">
        <w:t>The Tower hill National Park was treated poorly, damaging the endangered habitat. The mining industry, which was a ‘dynamo’ (Blainey) of our economy, believed that “conservation stood in the way of progress” (Lines) show</w:t>
      </w:r>
      <w:r w:rsidR="00550202" w:rsidRPr="00A57F4B">
        <w:t>n with attempts at mining in Coronation Hill in 1983 and Jabiluka in 1998.</w:t>
      </w:r>
    </w:p>
    <w:p w14:paraId="36520DED" w14:textId="19F6BDBE" w:rsidR="00BB64D5" w:rsidRPr="00A57F4B" w:rsidRDefault="005566E0" w:rsidP="00D11C36">
      <w:pPr>
        <w:pStyle w:val="VCAAHeading3"/>
        <w:rPr>
          <w:lang w:val="en-AU"/>
        </w:rPr>
      </w:pPr>
      <w:r w:rsidRPr="00A57F4B">
        <w:rPr>
          <w:lang w:val="en-AU"/>
        </w:rPr>
        <w:t>Question 2a.</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3CB453AC"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1D58B70" w14:textId="77777777" w:rsidR="00C7345C" w:rsidRPr="00A57F4B" w:rsidRDefault="00C7345C" w:rsidP="00A57F4B">
            <w:pPr>
              <w:pStyle w:val="VCAAtablecondensedheading"/>
              <w:rPr>
                <w:lang w:val="en-AU"/>
              </w:rPr>
            </w:pPr>
            <w:r w:rsidRPr="00A57F4B">
              <w:rPr>
                <w:lang w:val="en-AU"/>
              </w:rPr>
              <w:t>Marks</w:t>
            </w:r>
          </w:p>
        </w:tc>
        <w:tc>
          <w:tcPr>
            <w:tcW w:w="864" w:type="dxa"/>
          </w:tcPr>
          <w:p w14:paraId="18531684" w14:textId="77777777" w:rsidR="00C7345C" w:rsidRPr="00A57F4B" w:rsidRDefault="00C7345C" w:rsidP="00A57F4B">
            <w:pPr>
              <w:pStyle w:val="VCAAtablecondensedheading"/>
              <w:rPr>
                <w:lang w:val="en-AU"/>
              </w:rPr>
            </w:pPr>
            <w:r w:rsidRPr="00A57F4B">
              <w:rPr>
                <w:lang w:val="en-AU"/>
              </w:rPr>
              <w:t>0</w:t>
            </w:r>
          </w:p>
        </w:tc>
        <w:tc>
          <w:tcPr>
            <w:tcW w:w="864" w:type="dxa"/>
          </w:tcPr>
          <w:p w14:paraId="46937CBA" w14:textId="77777777" w:rsidR="00C7345C" w:rsidRPr="00A57F4B" w:rsidRDefault="00C7345C" w:rsidP="00A57F4B">
            <w:pPr>
              <w:pStyle w:val="VCAAtablecondensedheading"/>
              <w:rPr>
                <w:lang w:val="en-AU"/>
              </w:rPr>
            </w:pPr>
            <w:r w:rsidRPr="00A57F4B">
              <w:rPr>
                <w:lang w:val="en-AU"/>
              </w:rPr>
              <w:t>1</w:t>
            </w:r>
          </w:p>
        </w:tc>
        <w:tc>
          <w:tcPr>
            <w:tcW w:w="864" w:type="dxa"/>
          </w:tcPr>
          <w:p w14:paraId="2324BCF2" w14:textId="77777777" w:rsidR="00C7345C" w:rsidRPr="00A57F4B" w:rsidRDefault="00C7345C" w:rsidP="00A57F4B">
            <w:pPr>
              <w:pStyle w:val="VCAAtablecondensedheading"/>
              <w:rPr>
                <w:lang w:val="en-AU"/>
              </w:rPr>
            </w:pPr>
            <w:r w:rsidRPr="00A57F4B">
              <w:rPr>
                <w:lang w:val="en-AU"/>
              </w:rPr>
              <w:t>2</w:t>
            </w:r>
          </w:p>
        </w:tc>
        <w:tc>
          <w:tcPr>
            <w:tcW w:w="864" w:type="dxa"/>
          </w:tcPr>
          <w:p w14:paraId="53714D6E" w14:textId="77777777" w:rsidR="00C7345C" w:rsidRPr="00A57F4B" w:rsidRDefault="00C7345C" w:rsidP="00A57F4B">
            <w:pPr>
              <w:pStyle w:val="VCAAtablecondensedheading"/>
              <w:rPr>
                <w:lang w:val="en-AU"/>
              </w:rPr>
            </w:pPr>
            <w:r w:rsidRPr="00A57F4B">
              <w:rPr>
                <w:lang w:val="en-AU"/>
              </w:rPr>
              <w:t>Average</w:t>
            </w:r>
          </w:p>
        </w:tc>
      </w:tr>
      <w:tr w:rsidR="00C7345C" w:rsidRPr="00A57F4B" w14:paraId="2CD3B4B6" w14:textId="77777777" w:rsidTr="007838F5">
        <w:trPr>
          <w:trHeight w:hRule="exact" w:val="397"/>
        </w:trPr>
        <w:tc>
          <w:tcPr>
            <w:tcW w:w="864" w:type="dxa"/>
          </w:tcPr>
          <w:p w14:paraId="6CFAB7BC"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6967A7B9" w14:textId="4983BC8D" w:rsidR="00C7345C" w:rsidRPr="00A57F4B" w:rsidRDefault="00410D89" w:rsidP="00A57F4B">
            <w:pPr>
              <w:pStyle w:val="VCAAtablecondensedheading"/>
              <w:rPr>
                <w:color w:val="000000" w:themeColor="text1"/>
                <w:lang w:val="en-AU"/>
              </w:rPr>
            </w:pPr>
            <w:r w:rsidRPr="00A57F4B">
              <w:rPr>
                <w:color w:val="000000" w:themeColor="text1"/>
                <w:lang w:val="en-AU"/>
              </w:rPr>
              <w:t>17</w:t>
            </w:r>
          </w:p>
        </w:tc>
        <w:tc>
          <w:tcPr>
            <w:tcW w:w="864" w:type="dxa"/>
            <w:vAlign w:val="center"/>
          </w:tcPr>
          <w:p w14:paraId="489A4AEF" w14:textId="17F0012A" w:rsidR="00C7345C" w:rsidRPr="00A57F4B" w:rsidRDefault="00410D89" w:rsidP="00A57F4B">
            <w:pPr>
              <w:pStyle w:val="VCAAtablecondensedheading"/>
              <w:rPr>
                <w:color w:val="000000" w:themeColor="text1"/>
                <w:lang w:val="en-AU"/>
              </w:rPr>
            </w:pPr>
            <w:r w:rsidRPr="00A57F4B">
              <w:rPr>
                <w:color w:val="000000" w:themeColor="text1"/>
                <w:lang w:val="en-AU"/>
              </w:rPr>
              <w:t>39</w:t>
            </w:r>
          </w:p>
        </w:tc>
        <w:tc>
          <w:tcPr>
            <w:tcW w:w="864" w:type="dxa"/>
            <w:vAlign w:val="center"/>
          </w:tcPr>
          <w:p w14:paraId="62398DC9" w14:textId="2ED69E6E" w:rsidR="00C7345C" w:rsidRPr="00A57F4B" w:rsidRDefault="00410D89" w:rsidP="00A57F4B">
            <w:pPr>
              <w:pStyle w:val="VCAAtablecondensedheading"/>
              <w:rPr>
                <w:color w:val="000000" w:themeColor="text1"/>
                <w:lang w:val="en-AU"/>
              </w:rPr>
            </w:pPr>
            <w:r w:rsidRPr="00A57F4B">
              <w:rPr>
                <w:color w:val="000000" w:themeColor="text1"/>
                <w:lang w:val="en-AU"/>
              </w:rPr>
              <w:t>44</w:t>
            </w:r>
          </w:p>
        </w:tc>
        <w:tc>
          <w:tcPr>
            <w:tcW w:w="864" w:type="dxa"/>
          </w:tcPr>
          <w:p w14:paraId="5501457D" w14:textId="523CD269" w:rsidR="00C7345C" w:rsidRPr="00A57F4B" w:rsidRDefault="00B04A31" w:rsidP="00A57F4B">
            <w:pPr>
              <w:pStyle w:val="VCAAtablecondensedheading"/>
              <w:rPr>
                <w:color w:val="000000" w:themeColor="text1"/>
                <w:lang w:val="en-AU"/>
              </w:rPr>
            </w:pPr>
            <w:r w:rsidRPr="00A57F4B">
              <w:rPr>
                <w:color w:val="000000" w:themeColor="text1"/>
                <w:lang w:val="en-AU"/>
              </w:rPr>
              <w:t>1.3</w:t>
            </w:r>
          </w:p>
        </w:tc>
      </w:tr>
    </w:tbl>
    <w:p w14:paraId="7DB6D346" w14:textId="21933C43" w:rsidR="00C2507C" w:rsidRPr="00A57F4B" w:rsidRDefault="00C2507C" w:rsidP="00C2507C">
      <w:pPr>
        <w:pStyle w:val="VCAAbody"/>
        <w:rPr>
          <w:lang w:val="en-AU"/>
        </w:rPr>
      </w:pPr>
      <w:r w:rsidRPr="00A57F4B">
        <w:rPr>
          <w:lang w:val="en-AU"/>
        </w:rPr>
        <w:t>The question required students to identify two attitudes expressed in an 1850</w:t>
      </w:r>
      <w:r w:rsidR="008D0A92" w:rsidRPr="00A57F4B">
        <w:rPr>
          <w:lang w:val="en-AU"/>
        </w:rPr>
        <w:t>s</w:t>
      </w:r>
      <w:r w:rsidRPr="00A57F4B">
        <w:rPr>
          <w:lang w:val="en-AU"/>
        </w:rPr>
        <w:t xml:space="preserve"> editorial in </w:t>
      </w:r>
      <w:r w:rsidRPr="00A57F4B">
        <w:rPr>
          <w:i/>
          <w:iCs/>
          <w:lang w:val="en-AU"/>
        </w:rPr>
        <w:t>The Argus</w:t>
      </w:r>
      <w:r w:rsidRPr="00A57F4B">
        <w:rPr>
          <w:lang w:val="en-AU"/>
        </w:rPr>
        <w:t xml:space="preserve"> </w:t>
      </w:r>
      <w:r w:rsidR="008D0A92" w:rsidRPr="00A57F4B">
        <w:rPr>
          <w:lang w:val="en-AU"/>
        </w:rPr>
        <w:t>about female immigration</w:t>
      </w:r>
      <w:r w:rsidRPr="00A57F4B">
        <w:rPr>
          <w:lang w:val="en-AU"/>
        </w:rPr>
        <w:t xml:space="preserve"> to Victoria. High-scoring responses identified the writer’s attitude that it was a mistake to use funds from the sale of the land to assist the immigration of Irish orphan girls to the colony. Another attitude identified was the writer’s clear preference for English and Scottish girls and</w:t>
      </w:r>
      <w:r w:rsidR="00BB4C40" w:rsidRPr="00A57F4B">
        <w:rPr>
          <w:lang w:val="en-AU"/>
        </w:rPr>
        <w:t xml:space="preserve"> that</w:t>
      </w:r>
      <w:r w:rsidRPr="00A57F4B">
        <w:rPr>
          <w:lang w:val="en-AU"/>
        </w:rPr>
        <w:t xml:space="preserve"> if they were Irish, </w:t>
      </w:r>
      <w:r w:rsidR="00BB4C40" w:rsidRPr="00A57F4B">
        <w:rPr>
          <w:lang w:val="en-AU"/>
        </w:rPr>
        <w:t xml:space="preserve">they </w:t>
      </w:r>
      <w:r w:rsidRPr="00A57F4B">
        <w:rPr>
          <w:lang w:val="en-AU"/>
        </w:rPr>
        <w:t>should be of a higher class rather than working class.</w:t>
      </w:r>
      <w:r w:rsidR="00CC564A" w:rsidRPr="00A57F4B">
        <w:rPr>
          <w:lang w:val="en-AU"/>
        </w:rPr>
        <w:t xml:space="preserve"> </w:t>
      </w:r>
      <w:r w:rsidRPr="00A57F4B">
        <w:rPr>
          <w:lang w:val="en-AU"/>
        </w:rPr>
        <w:t xml:space="preserve">To achieve </w:t>
      </w:r>
      <w:r w:rsidR="00FD479A" w:rsidRPr="00A57F4B">
        <w:rPr>
          <w:lang w:val="en-AU"/>
        </w:rPr>
        <w:t xml:space="preserve">two </w:t>
      </w:r>
      <w:r w:rsidRPr="00A57F4B">
        <w:rPr>
          <w:lang w:val="en-AU"/>
        </w:rPr>
        <w:t xml:space="preserve">marks, students needed to clearly identify two attitudes. The following </w:t>
      </w:r>
      <w:r w:rsidR="00FD479A" w:rsidRPr="00A57F4B">
        <w:rPr>
          <w:lang w:val="en-AU"/>
        </w:rPr>
        <w:t xml:space="preserve">example of a high-scoring </w:t>
      </w:r>
      <w:r w:rsidRPr="00A57F4B">
        <w:rPr>
          <w:lang w:val="en-AU"/>
        </w:rPr>
        <w:t>response uses quotations directly from Source 5 to effectively identify the two attitudes expressed by the writer.</w:t>
      </w:r>
    </w:p>
    <w:p w14:paraId="09AEE30B" w14:textId="2AC3B085" w:rsidR="006D4AE4" w:rsidRPr="00A57F4B" w:rsidRDefault="00C2507C" w:rsidP="007838F5">
      <w:pPr>
        <w:pStyle w:val="VCAAstudentexample"/>
        <w:ind w:left="284"/>
      </w:pPr>
      <w:r w:rsidRPr="00A57F4B">
        <w:t>‘Source 5 expresses the desire for “eligible, well-brought-up girls” to emigrate to the colonies, rather than directing funds to “coarse useless creatures” from Ireland. The desire was for “rosy cheeked girls from England…Bonnie Scotland who would make good servants today and virtuous intelligent wives to-morrow.”</w:t>
      </w:r>
    </w:p>
    <w:p w14:paraId="057FD2C1" w14:textId="6BC2458B" w:rsidR="00C2507C" w:rsidRPr="00A57F4B" w:rsidRDefault="005566E0" w:rsidP="00D11C36">
      <w:pPr>
        <w:pStyle w:val="VCAAHeading3"/>
        <w:rPr>
          <w:lang w:val="en-AU"/>
        </w:rPr>
      </w:pPr>
      <w:r w:rsidRPr="00A57F4B">
        <w:rPr>
          <w:lang w:val="en-AU"/>
        </w:rPr>
        <w:lastRenderedPageBreak/>
        <w:t>Question 2b.</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tblGrid>
      <w:tr w:rsidR="00C7345C" w:rsidRPr="00A57F4B" w14:paraId="55167F81"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257D04D" w14:textId="77777777" w:rsidR="00C7345C" w:rsidRPr="00A57F4B" w:rsidRDefault="00C7345C" w:rsidP="00A57F4B">
            <w:pPr>
              <w:pStyle w:val="VCAAtablecondensedheading"/>
              <w:rPr>
                <w:lang w:val="en-AU"/>
              </w:rPr>
            </w:pPr>
            <w:r w:rsidRPr="00A57F4B">
              <w:rPr>
                <w:lang w:val="en-AU"/>
              </w:rPr>
              <w:t>Marks</w:t>
            </w:r>
          </w:p>
        </w:tc>
        <w:tc>
          <w:tcPr>
            <w:tcW w:w="864" w:type="dxa"/>
          </w:tcPr>
          <w:p w14:paraId="0DDF0ABF" w14:textId="77777777" w:rsidR="00C7345C" w:rsidRPr="00A57F4B" w:rsidRDefault="00C7345C" w:rsidP="00A57F4B">
            <w:pPr>
              <w:pStyle w:val="VCAAtablecondensedheading"/>
              <w:rPr>
                <w:lang w:val="en-AU"/>
              </w:rPr>
            </w:pPr>
            <w:r w:rsidRPr="00A57F4B">
              <w:rPr>
                <w:lang w:val="en-AU"/>
              </w:rPr>
              <w:t>0</w:t>
            </w:r>
          </w:p>
        </w:tc>
        <w:tc>
          <w:tcPr>
            <w:tcW w:w="864" w:type="dxa"/>
          </w:tcPr>
          <w:p w14:paraId="40ABF3AA" w14:textId="77777777" w:rsidR="00C7345C" w:rsidRPr="00A57F4B" w:rsidRDefault="00C7345C" w:rsidP="00A57F4B">
            <w:pPr>
              <w:pStyle w:val="VCAAtablecondensedheading"/>
              <w:rPr>
                <w:lang w:val="en-AU"/>
              </w:rPr>
            </w:pPr>
            <w:r w:rsidRPr="00A57F4B">
              <w:rPr>
                <w:lang w:val="en-AU"/>
              </w:rPr>
              <w:t>1</w:t>
            </w:r>
          </w:p>
        </w:tc>
        <w:tc>
          <w:tcPr>
            <w:tcW w:w="864" w:type="dxa"/>
          </w:tcPr>
          <w:p w14:paraId="1FAF9607" w14:textId="77777777" w:rsidR="00C7345C" w:rsidRPr="00A57F4B" w:rsidRDefault="00C7345C" w:rsidP="00A57F4B">
            <w:pPr>
              <w:pStyle w:val="VCAAtablecondensedheading"/>
              <w:rPr>
                <w:lang w:val="en-AU"/>
              </w:rPr>
            </w:pPr>
            <w:r w:rsidRPr="00A57F4B">
              <w:rPr>
                <w:lang w:val="en-AU"/>
              </w:rPr>
              <w:t>2</w:t>
            </w:r>
          </w:p>
        </w:tc>
        <w:tc>
          <w:tcPr>
            <w:tcW w:w="864" w:type="dxa"/>
          </w:tcPr>
          <w:p w14:paraId="2E1B5925" w14:textId="77777777" w:rsidR="00C7345C" w:rsidRPr="00A57F4B" w:rsidRDefault="00C7345C" w:rsidP="00A57F4B">
            <w:pPr>
              <w:pStyle w:val="VCAAtablecondensedheading"/>
              <w:rPr>
                <w:lang w:val="en-AU"/>
              </w:rPr>
            </w:pPr>
            <w:r w:rsidRPr="00A57F4B">
              <w:rPr>
                <w:lang w:val="en-AU"/>
              </w:rPr>
              <w:t>3</w:t>
            </w:r>
          </w:p>
        </w:tc>
        <w:tc>
          <w:tcPr>
            <w:tcW w:w="864" w:type="dxa"/>
          </w:tcPr>
          <w:p w14:paraId="6A37A8AC" w14:textId="77777777" w:rsidR="00C7345C" w:rsidRPr="00A57F4B" w:rsidRDefault="00C7345C" w:rsidP="00A57F4B">
            <w:pPr>
              <w:pStyle w:val="VCAAtablecondensedheading"/>
              <w:rPr>
                <w:lang w:val="en-AU"/>
              </w:rPr>
            </w:pPr>
            <w:r w:rsidRPr="00A57F4B">
              <w:rPr>
                <w:lang w:val="en-AU"/>
              </w:rPr>
              <w:t>4</w:t>
            </w:r>
          </w:p>
        </w:tc>
        <w:tc>
          <w:tcPr>
            <w:tcW w:w="864" w:type="dxa"/>
          </w:tcPr>
          <w:p w14:paraId="744EAC38" w14:textId="77777777" w:rsidR="00C7345C" w:rsidRPr="00A57F4B" w:rsidRDefault="00C7345C" w:rsidP="00A57F4B">
            <w:pPr>
              <w:pStyle w:val="VCAAtablecondensedheading"/>
              <w:rPr>
                <w:lang w:val="en-AU"/>
              </w:rPr>
            </w:pPr>
            <w:r w:rsidRPr="00A57F4B">
              <w:rPr>
                <w:lang w:val="en-AU"/>
              </w:rPr>
              <w:t>5</w:t>
            </w:r>
          </w:p>
        </w:tc>
        <w:tc>
          <w:tcPr>
            <w:tcW w:w="864" w:type="dxa"/>
          </w:tcPr>
          <w:p w14:paraId="0931C31A" w14:textId="77777777" w:rsidR="00C7345C" w:rsidRPr="00A57F4B" w:rsidRDefault="00C7345C" w:rsidP="00A57F4B">
            <w:pPr>
              <w:pStyle w:val="VCAAtablecondensedheading"/>
              <w:rPr>
                <w:lang w:val="en-AU"/>
              </w:rPr>
            </w:pPr>
            <w:r w:rsidRPr="00A57F4B">
              <w:rPr>
                <w:lang w:val="en-AU"/>
              </w:rPr>
              <w:t>Average</w:t>
            </w:r>
          </w:p>
        </w:tc>
      </w:tr>
      <w:tr w:rsidR="00C7345C" w:rsidRPr="00A57F4B" w14:paraId="698A878E" w14:textId="77777777" w:rsidTr="007838F5">
        <w:trPr>
          <w:trHeight w:hRule="exact" w:val="397"/>
        </w:trPr>
        <w:tc>
          <w:tcPr>
            <w:tcW w:w="864" w:type="dxa"/>
          </w:tcPr>
          <w:p w14:paraId="5B266781"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6B5DB26D" w14:textId="0469CEAF" w:rsidR="00C7345C" w:rsidRPr="00A57F4B" w:rsidRDefault="002F0211" w:rsidP="00A57F4B">
            <w:pPr>
              <w:pStyle w:val="VCAAtablecondensedheading"/>
              <w:rPr>
                <w:color w:val="000000" w:themeColor="text1"/>
                <w:lang w:val="en-AU"/>
              </w:rPr>
            </w:pPr>
            <w:r w:rsidRPr="00A57F4B">
              <w:rPr>
                <w:color w:val="000000" w:themeColor="text1"/>
                <w:lang w:val="en-AU"/>
              </w:rPr>
              <w:t>2</w:t>
            </w:r>
          </w:p>
        </w:tc>
        <w:tc>
          <w:tcPr>
            <w:tcW w:w="864" w:type="dxa"/>
            <w:vAlign w:val="center"/>
          </w:tcPr>
          <w:p w14:paraId="0492F564" w14:textId="1354F609" w:rsidR="00C7345C" w:rsidRPr="00A57F4B" w:rsidRDefault="002F0211" w:rsidP="00A57F4B">
            <w:pPr>
              <w:pStyle w:val="VCAAtablecondensedheading"/>
              <w:rPr>
                <w:color w:val="000000" w:themeColor="text1"/>
                <w:lang w:val="en-AU"/>
              </w:rPr>
            </w:pPr>
            <w:r w:rsidRPr="00A57F4B">
              <w:rPr>
                <w:color w:val="000000" w:themeColor="text1"/>
                <w:lang w:val="en-AU"/>
              </w:rPr>
              <w:t>9</w:t>
            </w:r>
          </w:p>
        </w:tc>
        <w:tc>
          <w:tcPr>
            <w:tcW w:w="864" w:type="dxa"/>
            <w:vAlign w:val="center"/>
          </w:tcPr>
          <w:p w14:paraId="14DC9F20" w14:textId="4B18A51E" w:rsidR="00C7345C" w:rsidRPr="00A57F4B" w:rsidRDefault="002F0211" w:rsidP="00A57F4B">
            <w:pPr>
              <w:pStyle w:val="VCAAtablecondensedheading"/>
              <w:rPr>
                <w:color w:val="000000" w:themeColor="text1"/>
                <w:lang w:val="en-AU"/>
              </w:rPr>
            </w:pPr>
            <w:r w:rsidRPr="00A57F4B">
              <w:rPr>
                <w:color w:val="000000" w:themeColor="text1"/>
                <w:lang w:val="en-AU"/>
              </w:rPr>
              <w:t>23</w:t>
            </w:r>
          </w:p>
        </w:tc>
        <w:tc>
          <w:tcPr>
            <w:tcW w:w="864" w:type="dxa"/>
          </w:tcPr>
          <w:p w14:paraId="6ED13F07" w14:textId="490A7C1E" w:rsidR="00C7345C" w:rsidRPr="00A57F4B" w:rsidRDefault="002F0211" w:rsidP="00A57F4B">
            <w:pPr>
              <w:pStyle w:val="VCAAtablecondensedheading"/>
              <w:rPr>
                <w:color w:val="000000" w:themeColor="text1"/>
                <w:lang w:val="en-AU"/>
              </w:rPr>
            </w:pPr>
            <w:r w:rsidRPr="00A57F4B">
              <w:rPr>
                <w:color w:val="000000" w:themeColor="text1"/>
                <w:lang w:val="en-AU"/>
              </w:rPr>
              <w:t>42</w:t>
            </w:r>
          </w:p>
        </w:tc>
        <w:tc>
          <w:tcPr>
            <w:tcW w:w="864" w:type="dxa"/>
          </w:tcPr>
          <w:p w14:paraId="6C6BD66B" w14:textId="5323D3C1" w:rsidR="00C7345C" w:rsidRPr="00A57F4B" w:rsidRDefault="002F0211" w:rsidP="00A57F4B">
            <w:pPr>
              <w:pStyle w:val="VCAAtablecondensedheading"/>
              <w:rPr>
                <w:color w:val="000000" w:themeColor="text1"/>
                <w:lang w:val="en-AU"/>
              </w:rPr>
            </w:pPr>
            <w:r w:rsidRPr="00A57F4B">
              <w:rPr>
                <w:color w:val="000000" w:themeColor="text1"/>
                <w:lang w:val="en-AU"/>
              </w:rPr>
              <w:t>18</w:t>
            </w:r>
          </w:p>
        </w:tc>
        <w:tc>
          <w:tcPr>
            <w:tcW w:w="864" w:type="dxa"/>
          </w:tcPr>
          <w:p w14:paraId="000DAFDA" w14:textId="2CD77D5E" w:rsidR="00C7345C" w:rsidRPr="00A57F4B" w:rsidRDefault="002F0211" w:rsidP="00A57F4B">
            <w:pPr>
              <w:pStyle w:val="VCAAtablecondensedheading"/>
              <w:rPr>
                <w:color w:val="000000" w:themeColor="text1"/>
                <w:lang w:val="en-AU"/>
              </w:rPr>
            </w:pPr>
            <w:r w:rsidRPr="00A57F4B">
              <w:rPr>
                <w:color w:val="000000" w:themeColor="text1"/>
                <w:lang w:val="en-AU"/>
              </w:rPr>
              <w:t>6</w:t>
            </w:r>
          </w:p>
        </w:tc>
        <w:tc>
          <w:tcPr>
            <w:tcW w:w="864" w:type="dxa"/>
          </w:tcPr>
          <w:p w14:paraId="281FDDBE" w14:textId="0FD21486" w:rsidR="00C7345C" w:rsidRPr="00A57F4B" w:rsidRDefault="002F0211" w:rsidP="00A57F4B">
            <w:pPr>
              <w:pStyle w:val="VCAAtablecondensedheading"/>
              <w:rPr>
                <w:color w:val="000000" w:themeColor="text1"/>
                <w:lang w:val="en-AU"/>
              </w:rPr>
            </w:pPr>
            <w:r w:rsidRPr="00A57F4B">
              <w:rPr>
                <w:color w:val="000000" w:themeColor="text1"/>
                <w:lang w:val="en-AU"/>
              </w:rPr>
              <w:t>2.8</w:t>
            </w:r>
          </w:p>
        </w:tc>
      </w:tr>
    </w:tbl>
    <w:p w14:paraId="201D7A88" w14:textId="51E4DFB9" w:rsidR="00C2507C" w:rsidRPr="00A57F4B" w:rsidRDefault="00C2507C" w:rsidP="00C2507C">
      <w:pPr>
        <w:pStyle w:val="VCAAbody"/>
        <w:rPr>
          <w:lang w:val="en-AU"/>
        </w:rPr>
      </w:pPr>
      <w:r w:rsidRPr="00A57F4B">
        <w:rPr>
          <w:lang w:val="en-AU"/>
        </w:rPr>
        <w:t>Students were asked to use Source 5, Source 6 and their own knowledge to explain the experiences of women and their contributions to society in the colonial period before Federation. High-scoring responses fulfilled the demands of the question using Source 5</w:t>
      </w:r>
      <w:r w:rsidR="00FD356B">
        <w:rPr>
          <w:lang w:val="en-AU"/>
        </w:rPr>
        <w:t xml:space="preserve"> and</w:t>
      </w:r>
      <w:r w:rsidR="00FD356B" w:rsidRPr="00A57F4B">
        <w:rPr>
          <w:lang w:val="en-AU"/>
        </w:rPr>
        <w:t xml:space="preserve"> </w:t>
      </w:r>
      <w:r w:rsidRPr="00A57F4B">
        <w:rPr>
          <w:lang w:val="en-AU"/>
        </w:rPr>
        <w:t>Source 6</w:t>
      </w:r>
      <w:r w:rsidR="00FD356B">
        <w:rPr>
          <w:lang w:val="en-AU"/>
        </w:rPr>
        <w:t>,</w:t>
      </w:r>
      <w:r w:rsidRPr="00A57F4B">
        <w:rPr>
          <w:lang w:val="en-AU"/>
        </w:rPr>
        <w:t xml:space="preserve"> and referred to other primary sources to explain the experiences of women and their contributions to colonial society. Many students referred to the contribution of Catherine Spence, Caroline Chisholm or the role of the suffragists.</w:t>
      </w:r>
      <w:r w:rsidR="00CC564A" w:rsidRPr="00A57F4B">
        <w:rPr>
          <w:lang w:val="en-AU"/>
        </w:rPr>
        <w:t xml:space="preserve"> </w:t>
      </w:r>
      <w:r w:rsidR="00BA2FEC" w:rsidRPr="00A57F4B">
        <w:rPr>
          <w:lang w:val="en-AU"/>
        </w:rPr>
        <w:t>Mid-range</w:t>
      </w:r>
      <w:r w:rsidRPr="00A57F4B">
        <w:rPr>
          <w:lang w:val="en-AU"/>
        </w:rPr>
        <w:t xml:space="preserve"> responses often referred to Source 5 and Source 6 </w:t>
      </w:r>
      <w:r w:rsidR="009764D0" w:rsidRPr="00A57F4B">
        <w:rPr>
          <w:lang w:val="en-AU"/>
        </w:rPr>
        <w:t xml:space="preserve">but </w:t>
      </w:r>
      <w:r w:rsidRPr="00A57F4B">
        <w:rPr>
          <w:lang w:val="en-AU"/>
        </w:rPr>
        <w:t>did not include their own knowledge. Students are encouraged to read questions carefully to ensure that they respond effectively to all parts of the question to achieve full marks. The following</w:t>
      </w:r>
      <w:r w:rsidR="00D11C36" w:rsidRPr="00A57F4B">
        <w:rPr>
          <w:lang w:val="en-AU"/>
        </w:rPr>
        <w:t xml:space="preserve"> is an</w:t>
      </w:r>
      <w:r w:rsidRPr="00A57F4B">
        <w:rPr>
          <w:lang w:val="en-AU"/>
        </w:rPr>
        <w:t xml:space="preserve"> excerpt from a high-scoring response that uses the sources and other knowledge effectively.</w:t>
      </w:r>
    </w:p>
    <w:p w14:paraId="592617B3" w14:textId="77777777" w:rsidR="00D11C36" w:rsidRPr="00A57F4B" w:rsidRDefault="00C2507C" w:rsidP="00FA15AB">
      <w:pPr>
        <w:pStyle w:val="VCAAstudentexample"/>
        <w:ind w:left="284"/>
      </w:pPr>
      <w:r w:rsidRPr="00A57F4B">
        <w:t xml:space="preserve">‘Women through pre-federated Australia were predominantly subjugated to the traditional gender roles of a house maintenance servant. Just as the Argus (source 5) postulates, the “physique of future colonists”, was a necessary indicator of the capacity for </w:t>
      </w:r>
      <w:proofErr w:type="gramStart"/>
      <w:r w:rsidRPr="00A57F4B">
        <w:t>females</w:t>
      </w:r>
      <w:proofErr w:type="gramEnd"/>
      <w:r w:rsidRPr="00A57F4B">
        <w:t xml:space="preserve"> service to the colonies. Indeed, epitomising the role of females through this period, Emily Skinner in Source 6 illustrates, despite being “sick and weak” she conformed to the social expectation, continuing to “do the necessary washing.” Thus, as females were brought to the gold fields as their male counterparts looked for “prosperous freedom” (Reverend </w:t>
      </w:r>
      <w:proofErr w:type="spellStart"/>
      <w:r w:rsidRPr="00A57F4B">
        <w:t>Polhampton</w:t>
      </w:r>
      <w:proofErr w:type="spellEnd"/>
      <w:r w:rsidRPr="00A57F4B">
        <w:t xml:space="preserve">), females such as Skinner was on the verge of ‘fainting away from weakness” Yet, females through 1867 as males gained suffrage, began to develop a voice in society, as Catherine Spence initiated pacifist groups, preaching for the “promotion of females to have a say”. </w:t>
      </w:r>
    </w:p>
    <w:p w14:paraId="126D7E88" w14:textId="75E970E0" w:rsidR="005566E0" w:rsidRPr="00A57F4B" w:rsidRDefault="005566E0" w:rsidP="005566E0">
      <w:pPr>
        <w:pStyle w:val="VCAAHeading3"/>
        <w:rPr>
          <w:lang w:val="en-AU"/>
        </w:rPr>
      </w:pPr>
      <w:r w:rsidRPr="00A57F4B">
        <w:rPr>
          <w:lang w:val="en-AU"/>
        </w:rPr>
        <w:t>Question 2c.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E111F3" w:rsidRPr="00A57F4B" w14:paraId="78E7DCB9"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5137172" w14:textId="77777777" w:rsidR="00E111F3" w:rsidRPr="00A57F4B" w:rsidRDefault="00E111F3" w:rsidP="00A57F4B">
            <w:pPr>
              <w:pStyle w:val="VCAAtablecondensedheading"/>
              <w:rPr>
                <w:lang w:val="en-AU"/>
              </w:rPr>
            </w:pPr>
            <w:r w:rsidRPr="00A57F4B">
              <w:rPr>
                <w:lang w:val="en-AU"/>
              </w:rPr>
              <w:t>Marks</w:t>
            </w:r>
          </w:p>
        </w:tc>
        <w:tc>
          <w:tcPr>
            <w:tcW w:w="864" w:type="dxa"/>
          </w:tcPr>
          <w:p w14:paraId="75F3EB64" w14:textId="77777777" w:rsidR="00E111F3" w:rsidRPr="00A57F4B" w:rsidRDefault="00E111F3" w:rsidP="00A57F4B">
            <w:pPr>
              <w:pStyle w:val="VCAAtablecondensedheading"/>
              <w:rPr>
                <w:lang w:val="en-AU"/>
              </w:rPr>
            </w:pPr>
            <w:r w:rsidRPr="00A57F4B">
              <w:rPr>
                <w:lang w:val="en-AU"/>
              </w:rPr>
              <w:t>0</w:t>
            </w:r>
          </w:p>
        </w:tc>
        <w:tc>
          <w:tcPr>
            <w:tcW w:w="864" w:type="dxa"/>
          </w:tcPr>
          <w:p w14:paraId="299A5863" w14:textId="77777777" w:rsidR="00E111F3" w:rsidRPr="00A57F4B" w:rsidRDefault="00E111F3" w:rsidP="00A57F4B">
            <w:pPr>
              <w:pStyle w:val="VCAAtablecondensedheading"/>
              <w:rPr>
                <w:lang w:val="en-AU"/>
              </w:rPr>
            </w:pPr>
            <w:r w:rsidRPr="00A57F4B">
              <w:rPr>
                <w:lang w:val="en-AU"/>
              </w:rPr>
              <w:t>1</w:t>
            </w:r>
          </w:p>
        </w:tc>
        <w:tc>
          <w:tcPr>
            <w:tcW w:w="864" w:type="dxa"/>
          </w:tcPr>
          <w:p w14:paraId="213D8796" w14:textId="77777777" w:rsidR="00E111F3" w:rsidRPr="00A57F4B" w:rsidRDefault="00E111F3" w:rsidP="00A57F4B">
            <w:pPr>
              <w:pStyle w:val="VCAAtablecondensedheading"/>
              <w:rPr>
                <w:lang w:val="en-AU"/>
              </w:rPr>
            </w:pPr>
            <w:r w:rsidRPr="00A57F4B">
              <w:rPr>
                <w:lang w:val="en-AU"/>
              </w:rPr>
              <w:t>2</w:t>
            </w:r>
          </w:p>
        </w:tc>
        <w:tc>
          <w:tcPr>
            <w:tcW w:w="864" w:type="dxa"/>
          </w:tcPr>
          <w:p w14:paraId="5087531E" w14:textId="77777777" w:rsidR="00E111F3" w:rsidRPr="00A57F4B" w:rsidRDefault="00E111F3" w:rsidP="00A57F4B">
            <w:pPr>
              <w:pStyle w:val="VCAAtablecondensedheading"/>
              <w:rPr>
                <w:lang w:val="en-AU"/>
              </w:rPr>
            </w:pPr>
            <w:r w:rsidRPr="00A57F4B">
              <w:rPr>
                <w:lang w:val="en-AU"/>
              </w:rPr>
              <w:t>3</w:t>
            </w:r>
          </w:p>
        </w:tc>
        <w:tc>
          <w:tcPr>
            <w:tcW w:w="864" w:type="dxa"/>
          </w:tcPr>
          <w:p w14:paraId="728C86A1" w14:textId="77777777" w:rsidR="00E111F3" w:rsidRPr="00A57F4B" w:rsidRDefault="00E111F3" w:rsidP="00A57F4B">
            <w:pPr>
              <w:pStyle w:val="VCAAtablecondensedheading"/>
              <w:rPr>
                <w:lang w:val="en-AU"/>
              </w:rPr>
            </w:pPr>
            <w:r w:rsidRPr="00A57F4B">
              <w:rPr>
                <w:lang w:val="en-AU"/>
              </w:rPr>
              <w:t>4</w:t>
            </w:r>
          </w:p>
        </w:tc>
        <w:tc>
          <w:tcPr>
            <w:tcW w:w="864" w:type="dxa"/>
          </w:tcPr>
          <w:p w14:paraId="1415BB70" w14:textId="77777777" w:rsidR="00E111F3" w:rsidRPr="00A57F4B" w:rsidRDefault="00E111F3" w:rsidP="00A57F4B">
            <w:pPr>
              <w:pStyle w:val="VCAAtablecondensedheading"/>
              <w:rPr>
                <w:lang w:val="en-AU"/>
              </w:rPr>
            </w:pPr>
            <w:r w:rsidRPr="00A57F4B">
              <w:rPr>
                <w:lang w:val="en-AU"/>
              </w:rPr>
              <w:t>5</w:t>
            </w:r>
          </w:p>
        </w:tc>
        <w:tc>
          <w:tcPr>
            <w:tcW w:w="864" w:type="dxa"/>
          </w:tcPr>
          <w:p w14:paraId="20C46F5D" w14:textId="77777777" w:rsidR="00E111F3" w:rsidRPr="00A57F4B" w:rsidRDefault="00E111F3" w:rsidP="00A57F4B">
            <w:pPr>
              <w:pStyle w:val="VCAAtablecondensedheading"/>
              <w:rPr>
                <w:lang w:val="en-AU"/>
              </w:rPr>
            </w:pPr>
            <w:r w:rsidRPr="00A57F4B">
              <w:rPr>
                <w:lang w:val="en-AU"/>
              </w:rPr>
              <w:t>6</w:t>
            </w:r>
          </w:p>
        </w:tc>
        <w:tc>
          <w:tcPr>
            <w:tcW w:w="864" w:type="dxa"/>
          </w:tcPr>
          <w:p w14:paraId="2AF0F4B0" w14:textId="77777777" w:rsidR="00E111F3" w:rsidRPr="00A57F4B" w:rsidRDefault="00E111F3" w:rsidP="00A57F4B">
            <w:pPr>
              <w:pStyle w:val="VCAAtablecondensedheading"/>
              <w:rPr>
                <w:lang w:val="en-AU"/>
              </w:rPr>
            </w:pPr>
            <w:r w:rsidRPr="00A57F4B">
              <w:rPr>
                <w:lang w:val="en-AU"/>
              </w:rPr>
              <w:t>Average</w:t>
            </w:r>
          </w:p>
        </w:tc>
      </w:tr>
      <w:tr w:rsidR="00E111F3" w:rsidRPr="00A57F4B" w14:paraId="0EF06AA7" w14:textId="77777777" w:rsidTr="007838F5">
        <w:trPr>
          <w:trHeight w:hRule="exact" w:val="397"/>
        </w:trPr>
        <w:tc>
          <w:tcPr>
            <w:tcW w:w="864" w:type="dxa"/>
          </w:tcPr>
          <w:p w14:paraId="720BAEC6" w14:textId="77777777" w:rsidR="00E111F3" w:rsidRPr="00A57F4B" w:rsidRDefault="00E111F3" w:rsidP="00A57F4B">
            <w:pPr>
              <w:pStyle w:val="VCAAtablecondensed"/>
              <w:rPr>
                <w:lang w:val="en-AU"/>
              </w:rPr>
            </w:pPr>
            <w:r w:rsidRPr="00A57F4B">
              <w:rPr>
                <w:lang w:val="en-AU"/>
              </w:rPr>
              <w:t>%</w:t>
            </w:r>
          </w:p>
        </w:tc>
        <w:tc>
          <w:tcPr>
            <w:tcW w:w="864" w:type="dxa"/>
            <w:vAlign w:val="center"/>
          </w:tcPr>
          <w:p w14:paraId="453CCEA7" w14:textId="7342C8CF" w:rsidR="00E111F3" w:rsidRPr="00A57F4B" w:rsidRDefault="000619F6" w:rsidP="00A57F4B">
            <w:pPr>
              <w:pStyle w:val="VCAAtablecondensedheading"/>
              <w:rPr>
                <w:color w:val="000000" w:themeColor="text1"/>
                <w:lang w:val="en-AU"/>
              </w:rPr>
            </w:pPr>
            <w:r w:rsidRPr="00A57F4B">
              <w:rPr>
                <w:color w:val="000000" w:themeColor="text1"/>
                <w:lang w:val="en-AU"/>
              </w:rPr>
              <w:t>10</w:t>
            </w:r>
          </w:p>
        </w:tc>
        <w:tc>
          <w:tcPr>
            <w:tcW w:w="864" w:type="dxa"/>
            <w:vAlign w:val="center"/>
          </w:tcPr>
          <w:p w14:paraId="48D0A5B9" w14:textId="2EC36C3E" w:rsidR="00E111F3" w:rsidRPr="00A57F4B" w:rsidRDefault="000619F6" w:rsidP="00A57F4B">
            <w:pPr>
              <w:pStyle w:val="VCAAtablecondensedheading"/>
              <w:rPr>
                <w:color w:val="000000" w:themeColor="text1"/>
                <w:lang w:val="en-AU"/>
              </w:rPr>
            </w:pPr>
            <w:r w:rsidRPr="00A57F4B">
              <w:rPr>
                <w:color w:val="000000" w:themeColor="text1"/>
                <w:lang w:val="en-AU"/>
              </w:rPr>
              <w:t>12</w:t>
            </w:r>
          </w:p>
        </w:tc>
        <w:tc>
          <w:tcPr>
            <w:tcW w:w="864" w:type="dxa"/>
            <w:vAlign w:val="center"/>
          </w:tcPr>
          <w:p w14:paraId="077287DF" w14:textId="0C9FF2C4" w:rsidR="00E111F3" w:rsidRPr="00A57F4B" w:rsidRDefault="000619F6" w:rsidP="00A57F4B">
            <w:pPr>
              <w:pStyle w:val="VCAAtablecondensedheading"/>
              <w:rPr>
                <w:color w:val="000000" w:themeColor="text1"/>
                <w:lang w:val="en-AU"/>
              </w:rPr>
            </w:pPr>
            <w:r w:rsidRPr="00A57F4B">
              <w:rPr>
                <w:color w:val="000000" w:themeColor="text1"/>
                <w:lang w:val="en-AU"/>
              </w:rPr>
              <w:t>27</w:t>
            </w:r>
          </w:p>
        </w:tc>
        <w:tc>
          <w:tcPr>
            <w:tcW w:w="864" w:type="dxa"/>
          </w:tcPr>
          <w:p w14:paraId="4FD32B6F" w14:textId="66102685" w:rsidR="00E111F3" w:rsidRPr="00A57F4B" w:rsidRDefault="000619F6" w:rsidP="00A57F4B">
            <w:pPr>
              <w:pStyle w:val="VCAAtablecondensedheading"/>
              <w:rPr>
                <w:color w:val="000000" w:themeColor="text1"/>
                <w:lang w:val="en-AU"/>
              </w:rPr>
            </w:pPr>
            <w:r w:rsidRPr="00A57F4B">
              <w:rPr>
                <w:color w:val="000000" w:themeColor="text1"/>
                <w:lang w:val="en-AU"/>
              </w:rPr>
              <w:t>21</w:t>
            </w:r>
          </w:p>
        </w:tc>
        <w:tc>
          <w:tcPr>
            <w:tcW w:w="864" w:type="dxa"/>
          </w:tcPr>
          <w:p w14:paraId="73362EB7" w14:textId="2C599925" w:rsidR="00E111F3" w:rsidRPr="00A57F4B" w:rsidRDefault="000619F6" w:rsidP="00A57F4B">
            <w:pPr>
              <w:pStyle w:val="VCAAtablecondensedheading"/>
              <w:rPr>
                <w:color w:val="000000" w:themeColor="text1"/>
                <w:lang w:val="en-AU"/>
              </w:rPr>
            </w:pPr>
            <w:r w:rsidRPr="00A57F4B">
              <w:rPr>
                <w:color w:val="000000" w:themeColor="text1"/>
                <w:lang w:val="en-AU"/>
              </w:rPr>
              <w:t>18</w:t>
            </w:r>
          </w:p>
        </w:tc>
        <w:tc>
          <w:tcPr>
            <w:tcW w:w="864" w:type="dxa"/>
          </w:tcPr>
          <w:p w14:paraId="00AB2A2E" w14:textId="5BDC2562" w:rsidR="00E111F3" w:rsidRPr="00A57F4B" w:rsidRDefault="000619F6" w:rsidP="00A57F4B">
            <w:pPr>
              <w:pStyle w:val="VCAAtablecondensedheading"/>
              <w:rPr>
                <w:color w:val="000000" w:themeColor="text1"/>
                <w:lang w:val="en-AU"/>
              </w:rPr>
            </w:pPr>
            <w:r w:rsidRPr="00A57F4B">
              <w:rPr>
                <w:color w:val="000000" w:themeColor="text1"/>
                <w:lang w:val="en-AU"/>
              </w:rPr>
              <w:t>9</w:t>
            </w:r>
          </w:p>
        </w:tc>
        <w:tc>
          <w:tcPr>
            <w:tcW w:w="864" w:type="dxa"/>
          </w:tcPr>
          <w:p w14:paraId="417DD863" w14:textId="5A470B1E" w:rsidR="00E111F3" w:rsidRPr="00A57F4B" w:rsidRDefault="000619F6" w:rsidP="00A57F4B">
            <w:pPr>
              <w:pStyle w:val="VCAAtablecondensedheading"/>
              <w:rPr>
                <w:color w:val="000000" w:themeColor="text1"/>
                <w:lang w:val="en-AU"/>
              </w:rPr>
            </w:pPr>
            <w:r w:rsidRPr="00A57F4B">
              <w:rPr>
                <w:color w:val="000000" w:themeColor="text1"/>
                <w:lang w:val="en-AU"/>
              </w:rPr>
              <w:t>4</w:t>
            </w:r>
          </w:p>
        </w:tc>
        <w:tc>
          <w:tcPr>
            <w:tcW w:w="864" w:type="dxa"/>
          </w:tcPr>
          <w:p w14:paraId="13E33838" w14:textId="7644CA3A" w:rsidR="00E111F3" w:rsidRPr="00A57F4B" w:rsidRDefault="000619F6" w:rsidP="00A57F4B">
            <w:pPr>
              <w:pStyle w:val="VCAAtablecondensedheading"/>
              <w:rPr>
                <w:color w:val="000000" w:themeColor="text1"/>
                <w:lang w:val="en-AU"/>
              </w:rPr>
            </w:pPr>
            <w:r w:rsidRPr="00A57F4B">
              <w:rPr>
                <w:color w:val="000000" w:themeColor="text1"/>
                <w:lang w:val="en-AU"/>
              </w:rPr>
              <w:t>2.7</w:t>
            </w:r>
          </w:p>
        </w:tc>
      </w:tr>
    </w:tbl>
    <w:p w14:paraId="38778054" w14:textId="54679E70" w:rsidR="00D11C36" w:rsidRPr="00A57F4B" w:rsidRDefault="00C2507C" w:rsidP="00C2507C">
      <w:pPr>
        <w:pStyle w:val="VCAAbody"/>
        <w:rPr>
          <w:lang w:val="en-AU"/>
        </w:rPr>
      </w:pPr>
      <w:r w:rsidRPr="00A57F4B">
        <w:rPr>
          <w:lang w:val="en-AU"/>
        </w:rPr>
        <w:t xml:space="preserve">Students were asked to use Source 7 and their own knowledge to explain two changes to ideas about the land rights of Aboriginal and Torres Strait Islander peoples between 1869 and 1992. Most students identified the 1869 Victorian </w:t>
      </w:r>
      <w:r w:rsidR="001A674D" w:rsidRPr="00A57F4B">
        <w:rPr>
          <w:lang w:val="en-AU"/>
        </w:rPr>
        <w:t xml:space="preserve">act </w:t>
      </w:r>
      <w:r w:rsidRPr="00A57F4B">
        <w:rPr>
          <w:lang w:val="en-AU"/>
        </w:rPr>
        <w:t xml:space="preserve">that gave non-Indigenous people the power to dislocate Indigenous people from their traditional lands and force them to live on reserves and missions. In identifying a second change to ideas regarding the change in land rights for Aboriginal and Torres Strait Islander peoples, students referred to a range of actions from the 1960s that challenged the loss of their land and actively began to demand land rights. Many students referred to the success of the Wave Hill Walk Off, the Aboriginal Tent Embassy in 1972 or the Mabo decision and Paul Keating’s Redfern address in 1992. </w:t>
      </w:r>
      <w:r w:rsidR="00A136A6" w:rsidRPr="00A57F4B">
        <w:rPr>
          <w:lang w:val="en-AU"/>
        </w:rPr>
        <w:t>Mid-range</w:t>
      </w:r>
      <w:r w:rsidRPr="00A57F4B">
        <w:rPr>
          <w:lang w:val="en-AU"/>
        </w:rPr>
        <w:t xml:space="preserve"> responses referred to Source 7 and may have </w:t>
      </w:r>
      <w:proofErr w:type="gramStart"/>
      <w:r w:rsidRPr="00A57F4B">
        <w:rPr>
          <w:lang w:val="en-AU"/>
        </w:rPr>
        <w:t>made reference</w:t>
      </w:r>
      <w:proofErr w:type="gramEnd"/>
      <w:r w:rsidRPr="00A57F4B">
        <w:rPr>
          <w:lang w:val="en-AU"/>
        </w:rPr>
        <w:t xml:space="preserve"> to one other change, </w:t>
      </w:r>
      <w:r w:rsidR="00FD356B">
        <w:rPr>
          <w:lang w:val="en-AU"/>
        </w:rPr>
        <w:t>but</w:t>
      </w:r>
      <w:r w:rsidRPr="00A57F4B">
        <w:rPr>
          <w:lang w:val="en-AU"/>
        </w:rPr>
        <w:t xml:space="preserve"> there was a lack of depth in identifying the change in the idea of land rights. </w:t>
      </w:r>
      <w:r w:rsidR="00205093" w:rsidRPr="00A57F4B">
        <w:rPr>
          <w:lang w:val="en-AU"/>
        </w:rPr>
        <w:t>Responses that did not score well</w:t>
      </w:r>
      <w:r w:rsidRPr="00A57F4B">
        <w:rPr>
          <w:lang w:val="en-AU"/>
        </w:rPr>
        <w:t xml:space="preserve"> simply concentrated on Source 7 and did not explain another change. </w:t>
      </w:r>
    </w:p>
    <w:p w14:paraId="52E953C4" w14:textId="2F4030E3" w:rsidR="00C2507C" w:rsidRPr="00A57F4B" w:rsidRDefault="00D11C36" w:rsidP="00C2507C">
      <w:pPr>
        <w:pStyle w:val="VCAAbody"/>
        <w:rPr>
          <w:lang w:val="en-AU"/>
        </w:rPr>
      </w:pPr>
      <w:r w:rsidRPr="00A57F4B">
        <w:rPr>
          <w:lang w:val="en-AU"/>
        </w:rPr>
        <w:t xml:space="preserve">While most responses noted that the </w:t>
      </w:r>
      <w:r w:rsidRPr="00A57F4B">
        <w:rPr>
          <w:i/>
          <w:iCs/>
          <w:lang w:val="en-AU"/>
        </w:rPr>
        <w:t>Aboriginal Protection Act</w:t>
      </w:r>
      <w:r w:rsidRPr="00A57F4B">
        <w:rPr>
          <w:lang w:val="en-AU"/>
        </w:rPr>
        <w:t xml:space="preserve"> </w:t>
      </w:r>
      <w:r w:rsidRPr="007838F5">
        <w:rPr>
          <w:i/>
          <w:iCs/>
          <w:lang w:val="en-AU"/>
        </w:rPr>
        <w:t>1869</w:t>
      </w:r>
      <w:r w:rsidRPr="00A57F4B">
        <w:rPr>
          <w:lang w:val="en-AU"/>
        </w:rPr>
        <w:t xml:space="preserve"> created the change of displacing Aboriginal people from their land and culture and then explained a second change based on their own knowledge, t</w:t>
      </w:r>
      <w:r w:rsidR="00C2507C" w:rsidRPr="00A57F4B">
        <w:rPr>
          <w:lang w:val="en-AU"/>
        </w:rPr>
        <w:t>he following</w:t>
      </w:r>
      <w:r w:rsidRPr="00A57F4B">
        <w:rPr>
          <w:lang w:val="en-AU"/>
        </w:rPr>
        <w:t xml:space="preserve"> </w:t>
      </w:r>
      <w:r w:rsidR="00F716D0" w:rsidRPr="00A57F4B">
        <w:rPr>
          <w:lang w:val="en-AU"/>
        </w:rPr>
        <w:t xml:space="preserve">example of a </w:t>
      </w:r>
      <w:r w:rsidRPr="00A57F4B">
        <w:rPr>
          <w:lang w:val="en-AU"/>
        </w:rPr>
        <w:t>high-scoring</w:t>
      </w:r>
      <w:r w:rsidR="00C2507C" w:rsidRPr="00A57F4B">
        <w:rPr>
          <w:lang w:val="en-AU"/>
        </w:rPr>
        <w:t xml:space="preserve"> </w:t>
      </w:r>
      <w:r w:rsidRPr="00A57F4B">
        <w:rPr>
          <w:lang w:val="en-AU"/>
        </w:rPr>
        <w:t>response takes a comparatively novel approach, by</w:t>
      </w:r>
      <w:r w:rsidR="00C2507C" w:rsidRPr="00A57F4B">
        <w:rPr>
          <w:lang w:val="en-AU"/>
        </w:rPr>
        <w:t xml:space="preserve"> </w:t>
      </w:r>
      <w:r w:rsidRPr="00A57F4B">
        <w:rPr>
          <w:lang w:val="en-AU"/>
        </w:rPr>
        <w:t>using attitudes conveyed in</w:t>
      </w:r>
      <w:r w:rsidR="00C2507C" w:rsidRPr="00A57F4B">
        <w:rPr>
          <w:lang w:val="en-AU"/>
        </w:rPr>
        <w:t xml:space="preserve"> Source 7</w:t>
      </w:r>
      <w:r w:rsidRPr="00A57F4B">
        <w:rPr>
          <w:lang w:val="en-AU"/>
        </w:rPr>
        <w:t xml:space="preserve"> as a basis from which two changes were made to ideas about land rights between</w:t>
      </w:r>
      <w:r w:rsidR="00C2507C" w:rsidRPr="00A57F4B">
        <w:rPr>
          <w:lang w:val="en-AU"/>
        </w:rPr>
        <w:t xml:space="preserve"> 1869 and 1992.</w:t>
      </w:r>
      <w:r w:rsidR="00CC564A" w:rsidRPr="00A57F4B">
        <w:rPr>
          <w:lang w:val="en-AU"/>
        </w:rPr>
        <w:t xml:space="preserve"> </w:t>
      </w:r>
      <w:r w:rsidR="00AA1D5E" w:rsidRPr="00A57F4B">
        <w:rPr>
          <w:lang w:val="en-AU"/>
        </w:rPr>
        <w:t>This was quite an effective approach in clearly demonstrating the change in ideas that had occurred.</w:t>
      </w:r>
    </w:p>
    <w:p w14:paraId="3E64C98B" w14:textId="1AD54F2D" w:rsidR="00D11C36" w:rsidRPr="00A57F4B" w:rsidRDefault="00C2507C" w:rsidP="00262870">
      <w:pPr>
        <w:pStyle w:val="VCAAstudentexample"/>
        <w:ind w:left="284"/>
      </w:pPr>
      <w:r w:rsidRPr="00A57F4B">
        <w:t xml:space="preserve">The Select Committee report of 1859 suggested that Aboriginal people needed to be “Christianised and Civilised” and prompted the creation of Acts, such as the Aboriginal Protection Act 1869. This act gave “unelected volunteers” substantial formal powers over Aboriginal people through the creation of “residential reserves and missions” (Source 7). An example of slight change and leniency in this thinking, </w:t>
      </w:r>
      <w:r w:rsidRPr="00A57F4B">
        <w:lastRenderedPageBreak/>
        <w:t xml:space="preserve">was the experience of </w:t>
      </w:r>
      <w:proofErr w:type="spellStart"/>
      <w:r w:rsidRPr="00A57F4B">
        <w:t>Corranderk</w:t>
      </w:r>
      <w:proofErr w:type="spellEnd"/>
      <w:r w:rsidRPr="00A57F4B">
        <w:t xml:space="preserve"> Reserve Aboriginal elder Barack, who was heard in Parliament in Victoria and was successful in the re-implementation of manager John Green at the reserve. This instance highlights a shift in respect for Aboriginal land rights and their people capable to manage and make contribution to their own land, no longer a “weak and helpless people” (the Age). Another change occurred in 1992, with Paul Keating’s symbolic Redfern speech. One of the first attempts at apology and reconciliation, Keating on behalf of the Australian people apologise</w:t>
      </w:r>
      <w:r w:rsidR="009C7977" w:rsidRPr="00A57F4B">
        <w:t>d</w:t>
      </w:r>
      <w:r w:rsidRPr="00A57F4B">
        <w:t xml:space="preserve"> for the removal of sacred Aboriginal land and children, promising changes for the future. </w:t>
      </w:r>
    </w:p>
    <w:p w14:paraId="186FFF0D" w14:textId="58E07880" w:rsidR="005566E0" w:rsidRPr="00A57F4B" w:rsidRDefault="005566E0" w:rsidP="005566E0">
      <w:pPr>
        <w:pStyle w:val="VCAAHeading3"/>
        <w:rPr>
          <w:lang w:val="en-AU"/>
        </w:rPr>
      </w:pPr>
      <w:r w:rsidRPr="00A57F4B">
        <w:rPr>
          <w:lang w:val="en-AU"/>
        </w:rPr>
        <w:t>Question 2d.</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79A28655"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6C861F6" w14:textId="77777777" w:rsidR="00C7345C" w:rsidRPr="00A57F4B" w:rsidRDefault="00C7345C" w:rsidP="00A57F4B">
            <w:pPr>
              <w:pStyle w:val="VCAAtablecondensedheading"/>
              <w:rPr>
                <w:lang w:val="en-AU"/>
              </w:rPr>
            </w:pPr>
            <w:r w:rsidRPr="00A57F4B">
              <w:rPr>
                <w:lang w:val="en-AU"/>
              </w:rPr>
              <w:t>Marks</w:t>
            </w:r>
          </w:p>
        </w:tc>
        <w:tc>
          <w:tcPr>
            <w:tcW w:w="864" w:type="dxa"/>
          </w:tcPr>
          <w:p w14:paraId="7062E644" w14:textId="77777777" w:rsidR="00C7345C" w:rsidRPr="00A57F4B" w:rsidRDefault="00C7345C" w:rsidP="00A57F4B">
            <w:pPr>
              <w:pStyle w:val="VCAAtablecondensedheading"/>
              <w:rPr>
                <w:lang w:val="en-AU"/>
              </w:rPr>
            </w:pPr>
            <w:r w:rsidRPr="00A57F4B">
              <w:rPr>
                <w:lang w:val="en-AU"/>
              </w:rPr>
              <w:t>0</w:t>
            </w:r>
          </w:p>
        </w:tc>
        <w:tc>
          <w:tcPr>
            <w:tcW w:w="864" w:type="dxa"/>
          </w:tcPr>
          <w:p w14:paraId="1D28BEFC" w14:textId="77777777" w:rsidR="00C7345C" w:rsidRPr="00A57F4B" w:rsidRDefault="00C7345C" w:rsidP="00A57F4B">
            <w:pPr>
              <w:pStyle w:val="VCAAtablecondensedheading"/>
              <w:rPr>
                <w:lang w:val="en-AU"/>
              </w:rPr>
            </w:pPr>
            <w:r w:rsidRPr="00A57F4B">
              <w:rPr>
                <w:lang w:val="en-AU"/>
              </w:rPr>
              <w:t>1</w:t>
            </w:r>
          </w:p>
        </w:tc>
        <w:tc>
          <w:tcPr>
            <w:tcW w:w="864" w:type="dxa"/>
          </w:tcPr>
          <w:p w14:paraId="3F337BD3" w14:textId="77777777" w:rsidR="00C7345C" w:rsidRPr="00A57F4B" w:rsidRDefault="00C7345C" w:rsidP="00A57F4B">
            <w:pPr>
              <w:pStyle w:val="VCAAtablecondensedheading"/>
              <w:rPr>
                <w:lang w:val="en-AU"/>
              </w:rPr>
            </w:pPr>
            <w:r w:rsidRPr="00A57F4B">
              <w:rPr>
                <w:lang w:val="en-AU"/>
              </w:rPr>
              <w:t>2</w:t>
            </w:r>
          </w:p>
        </w:tc>
        <w:tc>
          <w:tcPr>
            <w:tcW w:w="864" w:type="dxa"/>
          </w:tcPr>
          <w:p w14:paraId="352222EC" w14:textId="77777777" w:rsidR="00C7345C" w:rsidRPr="00A57F4B" w:rsidRDefault="00C7345C" w:rsidP="00A57F4B">
            <w:pPr>
              <w:pStyle w:val="VCAAtablecondensedheading"/>
              <w:rPr>
                <w:lang w:val="en-AU"/>
              </w:rPr>
            </w:pPr>
            <w:r w:rsidRPr="00A57F4B">
              <w:rPr>
                <w:lang w:val="en-AU"/>
              </w:rPr>
              <w:t>Average</w:t>
            </w:r>
          </w:p>
        </w:tc>
      </w:tr>
      <w:tr w:rsidR="00C7345C" w:rsidRPr="00A57F4B" w14:paraId="4D7D68A2" w14:textId="77777777" w:rsidTr="007838F5">
        <w:trPr>
          <w:trHeight w:hRule="exact" w:val="397"/>
        </w:trPr>
        <w:tc>
          <w:tcPr>
            <w:tcW w:w="864" w:type="dxa"/>
          </w:tcPr>
          <w:p w14:paraId="6B085979"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3A5D54B1" w14:textId="7848CBC9" w:rsidR="00C7345C" w:rsidRPr="00A57F4B" w:rsidRDefault="000619F6" w:rsidP="00A57F4B">
            <w:pPr>
              <w:pStyle w:val="VCAAtablecondensedheading"/>
              <w:rPr>
                <w:color w:val="000000" w:themeColor="text1"/>
                <w:lang w:val="en-AU"/>
              </w:rPr>
            </w:pPr>
            <w:r w:rsidRPr="00A57F4B">
              <w:rPr>
                <w:color w:val="000000" w:themeColor="text1"/>
                <w:lang w:val="en-AU"/>
              </w:rPr>
              <w:t>11</w:t>
            </w:r>
          </w:p>
        </w:tc>
        <w:tc>
          <w:tcPr>
            <w:tcW w:w="864" w:type="dxa"/>
            <w:vAlign w:val="center"/>
          </w:tcPr>
          <w:p w14:paraId="2986ED22" w14:textId="42177F92" w:rsidR="00C7345C" w:rsidRPr="00A57F4B" w:rsidRDefault="000619F6" w:rsidP="00A57F4B">
            <w:pPr>
              <w:pStyle w:val="VCAAtablecondensedheading"/>
              <w:rPr>
                <w:color w:val="000000" w:themeColor="text1"/>
                <w:lang w:val="en-AU"/>
              </w:rPr>
            </w:pPr>
            <w:r w:rsidRPr="00A57F4B">
              <w:rPr>
                <w:color w:val="000000" w:themeColor="text1"/>
                <w:lang w:val="en-AU"/>
              </w:rPr>
              <w:t>23</w:t>
            </w:r>
          </w:p>
        </w:tc>
        <w:tc>
          <w:tcPr>
            <w:tcW w:w="864" w:type="dxa"/>
            <w:vAlign w:val="center"/>
          </w:tcPr>
          <w:p w14:paraId="3843FB3B" w14:textId="322E27E4" w:rsidR="00C7345C" w:rsidRPr="00A57F4B" w:rsidRDefault="000619F6" w:rsidP="00A57F4B">
            <w:pPr>
              <w:pStyle w:val="VCAAtablecondensedheading"/>
              <w:rPr>
                <w:color w:val="000000" w:themeColor="text1"/>
                <w:lang w:val="en-AU"/>
              </w:rPr>
            </w:pPr>
            <w:r w:rsidRPr="00A57F4B">
              <w:rPr>
                <w:color w:val="000000" w:themeColor="text1"/>
                <w:lang w:val="en-AU"/>
              </w:rPr>
              <w:t>66</w:t>
            </w:r>
          </w:p>
        </w:tc>
        <w:tc>
          <w:tcPr>
            <w:tcW w:w="864" w:type="dxa"/>
          </w:tcPr>
          <w:p w14:paraId="2309E405" w14:textId="5F362832" w:rsidR="00C7345C" w:rsidRPr="00A57F4B" w:rsidRDefault="000619F6" w:rsidP="00A57F4B">
            <w:pPr>
              <w:pStyle w:val="VCAAtablecondensedheading"/>
              <w:rPr>
                <w:color w:val="000000" w:themeColor="text1"/>
                <w:lang w:val="en-AU"/>
              </w:rPr>
            </w:pPr>
            <w:r w:rsidRPr="00A57F4B">
              <w:rPr>
                <w:color w:val="000000" w:themeColor="text1"/>
                <w:lang w:val="en-AU"/>
              </w:rPr>
              <w:t>1.6</w:t>
            </w:r>
          </w:p>
        </w:tc>
      </w:tr>
    </w:tbl>
    <w:p w14:paraId="46DDD4CE" w14:textId="02B28C0E" w:rsidR="00C2507C" w:rsidRPr="00A57F4B" w:rsidRDefault="00BC76C3" w:rsidP="00C2507C">
      <w:pPr>
        <w:pStyle w:val="VCAAbody"/>
        <w:rPr>
          <w:lang w:val="en-AU"/>
        </w:rPr>
      </w:pPr>
      <w:r w:rsidRPr="00A57F4B">
        <w:rPr>
          <w:lang w:val="en-AU"/>
        </w:rPr>
        <w:t>This question asked students</w:t>
      </w:r>
      <w:r w:rsidR="00C2507C" w:rsidRPr="00A57F4B">
        <w:rPr>
          <w:lang w:val="en-AU"/>
        </w:rPr>
        <w:t xml:space="preserve"> to </w:t>
      </w:r>
      <w:r w:rsidR="00FA15AB" w:rsidRPr="00A57F4B">
        <w:rPr>
          <w:lang w:val="en-AU"/>
        </w:rPr>
        <w:t xml:space="preserve">outline </w:t>
      </w:r>
      <w:r w:rsidR="00C2507C" w:rsidRPr="00A57F4B">
        <w:rPr>
          <w:lang w:val="en-AU"/>
        </w:rPr>
        <w:t>one</w:t>
      </w:r>
      <w:r w:rsidR="008D0A92" w:rsidRPr="00A57F4B">
        <w:rPr>
          <w:lang w:val="en-AU"/>
        </w:rPr>
        <w:t xml:space="preserve"> perspective on immigration held by the Australian Government after World War II from Source 8</w:t>
      </w:r>
      <w:r w:rsidR="00C2507C" w:rsidRPr="00A57F4B">
        <w:rPr>
          <w:lang w:val="en-AU"/>
        </w:rPr>
        <w:t xml:space="preserve">. Most students accurately identified that the Australian Government initially sought immigrants from the United Kingdom and that the photo of the large, white British family would have suited the government’s vision </w:t>
      </w:r>
      <w:r w:rsidR="007C180B" w:rsidRPr="00A57F4B">
        <w:rPr>
          <w:lang w:val="en-AU"/>
        </w:rPr>
        <w:t xml:space="preserve">after </w:t>
      </w:r>
      <w:r w:rsidR="00D11C36" w:rsidRPr="00A57F4B">
        <w:rPr>
          <w:lang w:val="en-AU"/>
        </w:rPr>
        <w:t xml:space="preserve">World War </w:t>
      </w:r>
      <w:r w:rsidR="007C180B" w:rsidRPr="00A57F4B">
        <w:rPr>
          <w:lang w:val="en-AU"/>
        </w:rPr>
        <w:t>II</w:t>
      </w:r>
      <w:r w:rsidR="00C2507C" w:rsidRPr="00A57F4B">
        <w:rPr>
          <w:lang w:val="en-AU"/>
        </w:rPr>
        <w:t>. Other students added that when the numbers of British immigrants proved to be insufficient, the government sought immigrants from Northern and Southern Europe.</w:t>
      </w:r>
    </w:p>
    <w:p w14:paraId="54487DE4" w14:textId="1199602A" w:rsidR="005566E0" w:rsidRPr="00A57F4B" w:rsidRDefault="005566E0" w:rsidP="005566E0">
      <w:pPr>
        <w:pStyle w:val="VCAAHeading3"/>
        <w:rPr>
          <w:lang w:val="en-AU"/>
        </w:rPr>
      </w:pPr>
      <w:r w:rsidRPr="00A57F4B">
        <w:rPr>
          <w:lang w:val="en-AU"/>
        </w:rPr>
        <w:t>Question 2e.</w:t>
      </w:r>
    </w:p>
    <w:tbl>
      <w:tblPr>
        <w:tblStyle w:val="VCAATableClosed"/>
        <w:tblW w:w="9360" w:type="dxa"/>
        <w:tblLook w:val="01E0" w:firstRow="1" w:lastRow="1" w:firstColumn="1" w:lastColumn="1" w:noHBand="0" w:noVBand="0"/>
      </w:tblPr>
      <w:tblGrid>
        <w:gridCol w:w="720"/>
        <w:gridCol w:w="708"/>
        <w:gridCol w:w="705"/>
        <w:gridCol w:w="705"/>
        <w:gridCol w:w="708"/>
        <w:gridCol w:w="708"/>
        <w:gridCol w:w="708"/>
        <w:gridCol w:w="708"/>
        <w:gridCol w:w="708"/>
        <w:gridCol w:w="705"/>
        <w:gridCol w:w="705"/>
        <w:gridCol w:w="708"/>
        <w:gridCol w:w="864"/>
      </w:tblGrid>
      <w:tr w:rsidR="00C20A13" w:rsidRPr="00A57F4B" w14:paraId="5C5CFC42"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7B99AA79" w14:textId="77777777" w:rsidR="00C20A13" w:rsidRPr="00A57F4B" w:rsidRDefault="00C20A13" w:rsidP="00A57F4B">
            <w:pPr>
              <w:pStyle w:val="VCAAtablecondensedheading"/>
              <w:rPr>
                <w:lang w:val="en-AU"/>
              </w:rPr>
            </w:pPr>
            <w:r w:rsidRPr="00A57F4B">
              <w:rPr>
                <w:lang w:val="en-AU"/>
              </w:rPr>
              <w:t>Marks</w:t>
            </w:r>
          </w:p>
        </w:tc>
        <w:tc>
          <w:tcPr>
            <w:tcW w:w="720" w:type="dxa"/>
          </w:tcPr>
          <w:p w14:paraId="512DE5E2" w14:textId="77777777" w:rsidR="00C20A13" w:rsidRPr="00A57F4B" w:rsidRDefault="00C20A13" w:rsidP="00A57F4B">
            <w:pPr>
              <w:pStyle w:val="VCAAtablecondensedheading"/>
              <w:rPr>
                <w:lang w:val="en-AU"/>
              </w:rPr>
            </w:pPr>
            <w:r w:rsidRPr="00A57F4B">
              <w:rPr>
                <w:lang w:val="en-AU"/>
              </w:rPr>
              <w:t>0</w:t>
            </w:r>
          </w:p>
        </w:tc>
        <w:tc>
          <w:tcPr>
            <w:tcW w:w="720" w:type="dxa"/>
          </w:tcPr>
          <w:p w14:paraId="68D8E7BD" w14:textId="77777777" w:rsidR="00C20A13" w:rsidRPr="00A57F4B" w:rsidRDefault="00C20A13" w:rsidP="00A57F4B">
            <w:pPr>
              <w:pStyle w:val="VCAAtablecondensedheading"/>
              <w:rPr>
                <w:lang w:val="en-AU"/>
              </w:rPr>
            </w:pPr>
            <w:r w:rsidRPr="00A57F4B">
              <w:rPr>
                <w:lang w:val="en-AU"/>
              </w:rPr>
              <w:t>1</w:t>
            </w:r>
          </w:p>
        </w:tc>
        <w:tc>
          <w:tcPr>
            <w:tcW w:w="720" w:type="dxa"/>
          </w:tcPr>
          <w:p w14:paraId="643F394A" w14:textId="77777777" w:rsidR="00C20A13" w:rsidRPr="00A57F4B" w:rsidRDefault="00C20A13" w:rsidP="00A57F4B">
            <w:pPr>
              <w:pStyle w:val="VCAAtablecondensedheading"/>
              <w:rPr>
                <w:lang w:val="en-AU"/>
              </w:rPr>
            </w:pPr>
            <w:r w:rsidRPr="00A57F4B">
              <w:rPr>
                <w:lang w:val="en-AU"/>
              </w:rPr>
              <w:t>2</w:t>
            </w:r>
          </w:p>
        </w:tc>
        <w:tc>
          <w:tcPr>
            <w:tcW w:w="720" w:type="dxa"/>
          </w:tcPr>
          <w:p w14:paraId="6885C0D8" w14:textId="77777777" w:rsidR="00C20A13" w:rsidRPr="00A57F4B" w:rsidRDefault="00C20A13" w:rsidP="00A57F4B">
            <w:pPr>
              <w:pStyle w:val="VCAAtablecondensedheading"/>
              <w:rPr>
                <w:lang w:val="en-AU"/>
              </w:rPr>
            </w:pPr>
            <w:r w:rsidRPr="00A57F4B">
              <w:rPr>
                <w:lang w:val="en-AU"/>
              </w:rPr>
              <w:t>3</w:t>
            </w:r>
          </w:p>
        </w:tc>
        <w:tc>
          <w:tcPr>
            <w:tcW w:w="720" w:type="dxa"/>
          </w:tcPr>
          <w:p w14:paraId="6E440D0F" w14:textId="77777777" w:rsidR="00C20A13" w:rsidRPr="00A57F4B" w:rsidRDefault="00C20A13" w:rsidP="00A57F4B">
            <w:pPr>
              <w:pStyle w:val="VCAAtablecondensedheading"/>
              <w:rPr>
                <w:lang w:val="en-AU"/>
              </w:rPr>
            </w:pPr>
            <w:r w:rsidRPr="00A57F4B">
              <w:rPr>
                <w:lang w:val="en-AU"/>
              </w:rPr>
              <w:t>4</w:t>
            </w:r>
          </w:p>
        </w:tc>
        <w:tc>
          <w:tcPr>
            <w:tcW w:w="720" w:type="dxa"/>
          </w:tcPr>
          <w:p w14:paraId="43B5FC8C" w14:textId="77777777" w:rsidR="00C20A13" w:rsidRPr="00A57F4B" w:rsidRDefault="00C20A13" w:rsidP="00A57F4B">
            <w:pPr>
              <w:pStyle w:val="VCAAtablecondensedheading"/>
              <w:rPr>
                <w:lang w:val="en-AU"/>
              </w:rPr>
            </w:pPr>
            <w:r w:rsidRPr="00A57F4B">
              <w:rPr>
                <w:lang w:val="en-AU"/>
              </w:rPr>
              <w:t>5</w:t>
            </w:r>
          </w:p>
        </w:tc>
        <w:tc>
          <w:tcPr>
            <w:tcW w:w="720" w:type="dxa"/>
          </w:tcPr>
          <w:p w14:paraId="37A669B1" w14:textId="77777777" w:rsidR="00C20A13" w:rsidRPr="00A57F4B" w:rsidRDefault="00C20A13" w:rsidP="00A57F4B">
            <w:pPr>
              <w:pStyle w:val="VCAAtablecondensedheading"/>
              <w:rPr>
                <w:lang w:val="en-AU"/>
              </w:rPr>
            </w:pPr>
            <w:r w:rsidRPr="00A57F4B">
              <w:rPr>
                <w:lang w:val="en-AU"/>
              </w:rPr>
              <w:t>6</w:t>
            </w:r>
          </w:p>
        </w:tc>
        <w:tc>
          <w:tcPr>
            <w:tcW w:w="720" w:type="dxa"/>
          </w:tcPr>
          <w:p w14:paraId="0631752F" w14:textId="77777777" w:rsidR="00C20A13" w:rsidRPr="00A57F4B" w:rsidRDefault="00C20A13" w:rsidP="00A57F4B">
            <w:pPr>
              <w:pStyle w:val="VCAAtablecondensedheading"/>
              <w:rPr>
                <w:lang w:val="en-AU"/>
              </w:rPr>
            </w:pPr>
            <w:r w:rsidRPr="00A57F4B">
              <w:rPr>
                <w:lang w:val="en-AU"/>
              </w:rPr>
              <w:t>7</w:t>
            </w:r>
          </w:p>
        </w:tc>
        <w:tc>
          <w:tcPr>
            <w:tcW w:w="720" w:type="dxa"/>
          </w:tcPr>
          <w:p w14:paraId="3269434C" w14:textId="77777777" w:rsidR="00C20A13" w:rsidRPr="00A57F4B" w:rsidRDefault="00C20A13" w:rsidP="00A57F4B">
            <w:pPr>
              <w:pStyle w:val="VCAAtablecondensedheading"/>
              <w:rPr>
                <w:lang w:val="en-AU"/>
              </w:rPr>
            </w:pPr>
            <w:r w:rsidRPr="00A57F4B">
              <w:rPr>
                <w:lang w:val="en-AU"/>
              </w:rPr>
              <w:t>8</w:t>
            </w:r>
          </w:p>
        </w:tc>
        <w:tc>
          <w:tcPr>
            <w:tcW w:w="720" w:type="dxa"/>
          </w:tcPr>
          <w:p w14:paraId="0B478F6F" w14:textId="77777777" w:rsidR="00C20A13" w:rsidRPr="00A57F4B" w:rsidRDefault="00C20A13" w:rsidP="00A57F4B">
            <w:pPr>
              <w:pStyle w:val="VCAAtablecondensedheading"/>
              <w:rPr>
                <w:lang w:val="en-AU"/>
              </w:rPr>
            </w:pPr>
            <w:r w:rsidRPr="00A57F4B">
              <w:rPr>
                <w:lang w:val="en-AU"/>
              </w:rPr>
              <w:t>9</w:t>
            </w:r>
          </w:p>
        </w:tc>
        <w:tc>
          <w:tcPr>
            <w:tcW w:w="720" w:type="dxa"/>
          </w:tcPr>
          <w:p w14:paraId="53563A1D" w14:textId="77777777" w:rsidR="00C20A13" w:rsidRPr="00A57F4B" w:rsidRDefault="00C20A13" w:rsidP="00A57F4B">
            <w:pPr>
              <w:pStyle w:val="VCAAtablecondensedheading"/>
              <w:rPr>
                <w:lang w:val="en-AU"/>
              </w:rPr>
            </w:pPr>
            <w:r w:rsidRPr="00A57F4B">
              <w:rPr>
                <w:lang w:val="en-AU"/>
              </w:rPr>
              <w:t>10</w:t>
            </w:r>
          </w:p>
        </w:tc>
        <w:tc>
          <w:tcPr>
            <w:tcW w:w="720" w:type="dxa"/>
          </w:tcPr>
          <w:p w14:paraId="2E004B7E" w14:textId="77777777" w:rsidR="00C20A13" w:rsidRPr="00A57F4B" w:rsidRDefault="00C20A13" w:rsidP="00A57F4B">
            <w:pPr>
              <w:pStyle w:val="VCAAtablecondensedheading"/>
              <w:rPr>
                <w:lang w:val="en-AU"/>
              </w:rPr>
            </w:pPr>
            <w:r w:rsidRPr="00A57F4B">
              <w:rPr>
                <w:lang w:val="en-AU"/>
              </w:rPr>
              <w:t>Average</w:t>
            </w:r>
          </w:p>
        </w:tc>
      </w:tr>
      <w:tr w:rsidR="00C20A13" w:rsidRPr="00A57F4B" w14:paraId="38DCDEB9" w14:textId="77777777" w:rsidTr="007838F5">
        <w:trPr>
          <w:trHeight w:hRule="exact" w:val="397"/>
        </w:trPr>
        <w:tc>
          <w:tcPr>
            <w:tcW w:w="720" w:type="dxa"/>
          </w:tcPr>
          <w:p w14:paraId="764667DC" w14:textId="77777777" w:rsidR="00C20A13" w:rsidRPr="00A57F4B" w:rsidRDefault="00C20A13" w:rsidP="00A57F4B">
            <w:pPr>
              <w:pStyle w:val="VCAAtablecondensed"/>
              <w:rPr>
                <w:lang w:val="en-AU"/>
              </w:rPr>
            </w:pPr>
            <w:r w:rsidRPr="00A57F4B">
              <w:rPr>
                <w:lang w:val="en-AU"/>
              </w:rPr>
              <w:t>%</w:t>
            </w:r>
          </w:p>
        </w:tc>
        <w:tc>
          <w:tcPr>
            <w:tcW w:w="720" w:type="dxa"/>
            <w:vAlign w:val="center"/>
          </w:tcPr>
          <w:p w14:paraId="060B54BE" w14:textId="18DB984C" w:rsidR="00C20A13" w:rsidRPr="00A57F4B" w:rsidRDefault="00BF3D56" w:rsidP="00A57F4B">
            <w:pPr>
              <w:pStyle w:val="VCAAtablecondensedheading"/>
              <w:rPr>
                <w:color w:val="000000" w:themeColor="text1"/>
                <w:lang w:val="en-AU"/>
              </w:rPr>
            </w:pPr>
            <w:r w:rsidRPr="00A57F4B">
              <w:rPr>
                <w:color w:val="000000" w:themeColor="text1"/>
                <w:lang w:val="en-AU"/>
              </w:rPr>
              <w:t>14</w:t>
            </w:r>
          </w:p>
        </w:tc>
        <w:tc>
          <w:tcPr>
            <w:tcW w:w="720" w:type="dxa"/>
            <w:vAlign w:val="center"/>
          </w:tcPr>
          <w:p w14:paraId="7BBEAD33" w14:textId="6CC355B2" w:rsidR="00C20A13" w:rsidRPr="00A57F4B" w:rsidRDefault="00BF3D56" w:rsidP="00A57F4B">
            <w:pPr>
              <w:pStyle w:val="VCAAtablecondensedheading"/>
              <w:rPr>
                <w:color w:val="000000" w:themeColor="text1"/>
                <w:lang w:val="en-AU"/>
              </w:rPr>
            </w:pPr>
            <w:r w:rsidRPr="00A57F4B">
              <w:rPr>
                <w:color w:val="000000" w:themeColor="text1"/>
                <w:lang w:val="en-AU"/>
              </w:rPr>
              <w:t>5</w:t>
            </w:r>
          </w:p>
        </w:tc>
        <w:tc>
          <w:tcPr>
            <w:tcW w:w="720" w:type="dxa"/>
            <w:vAlign w:val="center"/>
          </w:tcPr>
          <w:p w14:paraId="5D0775DC" w14:textId="656E89F2" w:rsidR="00C20A13" w:rsidRPr="00A57F4B" w:rsidRDefault="00BF3D56" w:rsidP="00A57F4B">
            <w:pPr>
              <w:pStyle w:val="VCAAtablecondensedheading"/>
              <w:rPr>
                <w:color w:val="000000" w:themeColor="text1"/>
                <w:lang w:val="en-AU"/>
              </w:rPr>
            </w:pPr>
            <w:r w:rsidRPr="00A57F4B">
              <w:rPr>
                <w:color w:val="000000" w:themeColor="text1"/>
                <w:lang w:val="en-AU"/>
              </w:rPr>
              <w:t>8</w:t>
            </w:r>
          </w:p>
        </w:tc>
        <w:tc>
          <w:tcPr>
            <w:tcW w:w="720" w:type="dxa"/>
          </w:tcPr>
          <w:p w14:paraId="02416E57" w14:textId="13E84E3E" w:rsidR="00C20A13" w:rsidRPr="00A57F4B" w:rsidRDefault="00BF3D56" w:rsidP="00A57F4B">
            <w:pPr>
              <w:pStyle w:val="VCAAtablecondensedheading"/>
              <w:rPr>
                <w:color w:val="000000" w:themeColor="text1"/>
                <w:lang w:val="en-AU"/>
              </w:rPr>
            </w:pPr>
            <w:r w:rsidRPr="00A57F4B">
              <w:rPr>
                <w:color w:val="000000" w:themeColor="text1"/>
                <w:lang w:val="en-AU"/>
              </w:rPr>
              <w:t>10</w:t>
            </w:r>
          </w:p>
        </w:tc>
        <w:tc>
          <w:tcPr>
            <w:tcW w:w="720" w:type="dxa"/>
          </w:tcPr>
          <w:p w14:paraId="2332A4EC" w14:textId="5F3C5061" w:rsidR="00C20A13" w:rsidRPr="00A57F4B" w:rsidRDefault="00BF3D56" w:rsidP="00A57F4B">
            <w:pPr>
              <w:pStyle w:val="VCAAtablecondensedheading"/>
              <w:rPr>
                <w:color w:val="000000" w:themeColor="text1"/>
                <w:lang w:val="en-AU"/>
              </w:rPr>
            </w:pPr>
            <w:r w:rsidRPr="00A57F4B">
              <w:rPr>
                <w:color w:val="000000" w:themeColor="text1"/>
                <w:lang w:val="en-AU"/>
              </w:rPr>
              <w:t>17</w:t>
            </w:r>
          </w:p>
        </w:tc>
        <w:tc>
          <w:tcPr>
            <w:tcW w:w="720" w:type="dxa"/>
          </w:tcPr>
          <w:p w14:paraId="68EDB6BE" w14:textId="4A76FAED" w:rsidR="00C20A13" w:rsidRPr="00A57F4B" w:rsidRDefault="00BF3D56" w:rsidP="00A57F4B">
            <w:pPr>
              <w:pStyle w:val="VCAAtablecondensedheading"/>
              <w:rPr>
                <w:color w:val="000000" w:themeColor="text1"/>
                <w:lang w:val="en-AU"/>
              </w:rPr>
            </w:pPr>
            <w:r w:rsidRPr="00A57F4B">
              <w:rPr>
                <w:color w:val="000000" w:themeColor="text1"/>
                <w:lang w:val="en-AU"/>
              </w:rPr>
              <w:t>15</w:t>
            </w:r>
          </w:p>
        </w:tc>
        <w:tc>
          <w:tcPr>
            <w:tcW w:w="720" w:type="dxa"/>
          </w:tcPr>
          <w:p w14:paraId="02889309" w14:textId="742F4852" w:rsidR="00C20A13" w:rsidRPr="00A57F4B" w:rsidRDefault="00BF3D56" w:rsidP="00A57F4B">
            <w:pPr>
              <w:pStyle w:val="VCAAtablecondensedheading"/>
              <w:rPr>
                <w:color w:val="000000" w:themeColor="text1"/>
                <w:lang w:val="en-AU"/>
              </w:rPr>
            </w:pPr>
            <w:r w:rsidRPr="00A57F4B">
              <w:rPr>
                <w:color w:val="000000" w:themeColor="text1"/>
                <w:lang w:val="en-AU"/>
              </w:rPr>
              <w:t>14</w:t>
            </w:r>
          </w:p>
        </w:tc>
        <w:tc>
          <w:tcPr>
            <w:tcW w:w="720" w:type="dxa"/>
          </w:tcPr>
          <w:p w14:paraId="4C7D64FC" w14:textId="52AB0712" w:rsidR="00C20A13" w:rsidRPr="00A57F4B" w:rsidRDefault="00BF3D56" w:rsidP="00A57F4B">
            <w:pPr>
              <w:pStyle w:val="VCAAtablecondensedheading"/>
              <w:rPr>
                <w:color w:val="000000" w:themeColor="text1"/>
                <w:lang w:val="en-AU"/>
              </w:rPr>
            </w:pPr>
            <w:r w:rsidRPr="00A57F4B">
              <w:rPr>
                <w:color w:val="000000" w:themeColor="text1"/>
                <w:lang w:val="en-AU"/>
              </w:rPr>
              <w:t>10</w:t>
            </w:r>
          </w:p>
        </w:tc>
        <w:tc>
          <w:tcPr>
            <w:tcW w:w="720" w:type="dxa"/>
          </w:tcPr>
          <w:p w14:paraId="0197F18B" w14:textId="063B325B" w:rsidR="00C20A13" w:rsidRPr="00A57F4B" w:rsidRDefault="00BF3D56" w:rsidP="00A57F4B">
            <w:pPr>
              <w:pStyle w:val="VCAAtablecondensedheading"/>
              <w:rPr>
                <w:color w:val="000000" w:themeColor="text1"/>
                <w:lang w:val="en-AU"/>
              </w:rPr>
            </w:pPr>
            <w:r w:rsidRPr="00A57F4B">
              <w:rPr>
                <w:color w:val="000000" w:themeColor="text1"/>
                <w:lang w:val="en-AU"/>
              </w:rPr>
              <w:t>4</w:t>
            </w:r>
          </w:p>
        </w:tc>
        <w:tc>
          <w:tcPr>
            <w:tcW w:w="720" w:type="dxa"/>
          </w:tcPr>
          <w:p w14:paraId="3D1A0B62" w14:textId="2B4C21C8" w:rsidR="00C20A13" w:rsidRPr="00A57F4B" w:rsidRDefault="00BF3D56" w:rsidP="00A57F4B">
            <w:pPr>
              <w:pStyle w:val="VCAAtablecondensedheading"/>
              <w:rPr>
                <w:color w:val="000000" w:themeColor="text1"/>
                <w:lang w:val="en-AU"/>
              </w:rPr>
            </w:pPr>
            <w:r w:rsidRPr="00A57F4B">
              <w:rPr>
                <w:color w:val="000000" w:themeColor="text1"/>
                <w:lang w:val="en-AU"/>
              </w:rPr>
              <w:t>2</w:t>
            </w:r>
          </w:p>
        </w:tc>
        <w:tc>
          <w:tcPr>
            <w:tcW w:w="720" w:type="dxa"/>
          </w:tcPr>
          <w:p w14:paraId="2B3376AF" w14:textId="13377B5D" w:rsidR="00C20A13" w:rsidRPr="00A57F4B" w:rsidRDefault="00BF3D56" w:rsidP="00A57F4B">
            <w:pPr>
              <w:pStyle w:val="VCAAtablecondensedheading"/>
              <w:rPr>
                <w:color w:val="000000" w:themeColor="text1"/>
                <w:lang w:val="en-AU"/>
              </w:rPr>
            </w:pPr>
            <w:r w:rsidRPr="00A57F4B">
              <w:rPr>
                <w:color w:val="000000" w:themeColor="text1"/>
                <w:lang w:val="en-AU"/>
              </w:rPr>
              <w:t>1</w:t>
            </w:r>
          </w:p>
        </w:tc>
        <w:tc>
          <w:tcPr>
            <w:tcW w:w="720" w:type="dxa"/>
          </w:tcPr>
          <w:p w14:paraId="705CF2D6" w14:textId="2E0974B0" w:rsidR="00C20A13" w:rsidRPr="00A57F4B" w:rsidRDefault="00BF3D56" w:rsidP="00A57F4B">
            <w:pPr>
              <w:pStyle w:val="VCAAtablecondensedheading"/>
              <w:rPr>
                <w:color w:val="000000" w:themeColor="text1"/>
                <w:lang w:val="en-AU"/>
              </w:rPr>
            </w:pPr>
            <w:r w:rsidRPr="00A57F4B">
              <w:rPr>
                <w:color w:val="000000" w:themeColor="text1"/>
                <w:lang w:val="en-AU"/>
              </w:rPr>
              <w:t>4.1</w:t>
            </w:r>
          </w:p>
        </w:tc>
      </w:tr>
    </w:tbl>
    <w:p w14:paraId="16F749F5" w14:textId="48580AA3" w:rsidR="00C2507C" w:rsidRPr="00A57F4B" w:rsidRDefault="00C2507C" w:rsidP="00C2507C">
      <w:pPr>
        <w:pStyle w:val="VCAAbody"/>
        <w:rPr>
          <w:lang w:val="en-AU"/>
        </w:rPr>
      </w:pPr>
      <w:r w:rsidRPr="00A57F4B">
        <w:rPr>
          <w:lang w:val="en-AU"/>
        </w:rPr>
        <w:t>This question required students to evaluate the extent to which ideas about assimilation of migrants changed between 1900 and 2008. Higher-scoring responses began with a topic sentence outlining a contention that responded to the question. This was followed by a demonstration and awareness of the persistence of the policy of assimilation, the emergence of multiculturalism and evidence of hostility to multiculturalism.</w:t>
      </w:r>
      <w:r w:rsidR="00CC564A" w:rsidRPr="00A57F4B">
        <w:rPr>
          <w:lang w:val="en-AU"/>
        </w:rPr>
        <w:t xml:space="preserve"> </w:t>
      </w:r>
      <w:r w:rsidR="00301413" w:rsidRPr="00A57F4B">
        <w:rPr>
          <w:lang w:val="en-AU"/>
        </w:rPr>
        <w:t>Mid-range</w:t>
      </w:r>
      <w:r w:rsidRPr="00A57F4B">
        <w:rPr>
          <w:lang w:val="en-AU"/>
        </w:rPr>
        <w:t xml:space="preserve"> responses did not address the idea of assimilation and</w:t>
      </w:r>
      <w:r w:rsidR="001B15BB" w:rsidRPr="00A57F4B">
        <w:rPr>
          <w:lang w:val="en-AU"/>
        </w:rPr>
        <w:t xml:space="preserve"> described more broadly immigration policies across the time period</w:t>
      </w:r>
      <w:r w:rsidRPr="00A57F4B">
        <w:rPr>
          <w:lang w:val="en-AU"/>
        </w:rPr>
        <w:t xml:space="preserve"> </w:t>
      </w:r>
      <w:r w:rsidR="001B15BB" w:rsidRPr="00A57F4B">
        <w:rPr>
          <w:lang w:val="en-AU"/>
        </w:rPr>
        <w:t xml:space="preserve">with a focus </w:t>
      </w:r>
      <w:r w:rsidRPr="00A57F4B">
        <w:rPr>
          <w:lang w:val="en-AU"/>
        </w:rPr>
        <w:t xml:space="preserve">on the emergence of multiculturalism and the hostility it created from some Australians. The following </w:t>
      </w:r>
      <w:r w:rsidR="002177A1" w:rsidRPr="00A57F4B">
        <w:rPr>
          <w:lang w:val="en-AU"/>
        </w:rPr>
        <w:t xml:space="preserve">high-scoring </w:t>
      </w:r>
      <w:r w:rsidRPr="00A57F4B">
        <w:rPr>
          <w:lang w:val="en-AU"/>
        </w:rPr>
        <w:t>response evaluates the policy of assimilation and the changes between 1900 and 2008</w:t>
      </w:r>
      <w:r w:rsidR="00FD356B">
        <w:rPr>
          <w:lang w:val="en-AU"/>
        </w:rPr>
        <w:t>,</w:t>
      </w:r>
      <w:r w:rsidRPr="00A57F4B">
        <w:rPr>
          <w:lang w:val="en-AU"/>
        </w:rPr>
        <w:t xml:space="preserve"> </w:t>
      </w:r>
      <w:r w:rsidR="001B15BB" w:rsidRPr="00A57F4B">
        <w:rPr>
          <w:lang w:val="en-AU"/>
        </w:rPr>
        <w:t>not</w:t>
      </w:r>
      <w:r w:rsidR="002177A1" w:rsidRPr="00A57F4B">
        <w:rPr>
          <w:lang w:val="en-AU"/>
        </w:rPr>
        <w:t>ing</w:t>
      </w:r>
      <w:r w:rsidR="001B15BB" w:rsidRPr="00A57F4B">
        <w:rPr>
          <w:lang w:val="en-AU"/>
        </w:rPr>
        <w:t xml:space="preserve"> that there was little assimilation required of the earliest migrants who came almost entirely from the United Kingdom</w:t>
      </w:r>
      <w:r w:rsidR="002177A1" w:rsidRPr="00A57F4B">
        <w:rPr>
          <w:lang w:val="en-AU"/>
        </w:rPr>
        <w:t>. The response then states that</w:t>
      </w:r>
      <w:r w:rsidR="001B15BB" w:rsidRPr="00A57F4B">
        <w:rPr>
          <w:lang w:val="en-AU"/>
        </w:rPr>
        <w:t xml:space="preserve"> Baltic migrants were most preferred following WW</w:t>
      </w:r>
      <w:r w:rsidR="002B71B4" w:rsidRPr="00A57F4B">
        <w:rPr>
          <w:lang w:val="en-AU"/>
        </w:rPr>
        <w:t>II</w:t>
      </w:r>
      <w:r w:rsidR="001B15BB" w:rsidRPr="00A57F4B">
        <w:rPr>
          <w:lang w:val="en-AU"/>
        </w:rPr>
        <w:t xml:space="preserve"> due to their perceive</w:t>
      </w:r>
      <w:r w:rsidR="002B262A" w:rsidRPr="00A57F4B">
        <w:rPr>
          <w:color w:val="auto"/>
          <w:lang w:val="en-AU"/>
        </w:rPr>
        <w:t>d</w:t>
      </w:r>
      <w:r w:rsidR="001B15BB" w:rsidRPr="00A57F4B">
        <w:rPr>
          <w:lang w:val="en-AU"/>
        </w:rPr>
        <w:t xml:space="preserve"> ability to assimilate into </w:t>
      </w:r>
      <w:r w:rsidR="00A41BFB" w:rsidRPr="00A57F4B">
        <w:rPr>
          <w:lang w:val="en-AU"/>
        </w:rPr>
        <w:t>w</w:t>
      </w:r>
      <w:r w:rsidR="001B15BB" w:rsidRPr="00A57F4B">
        <w:rPr>
          <w:lang w:val="en-AU"/>
        </w:rPr>
        <w:t>hite Australian society.</w:t>
      </w:r>
      <w:r w:rsidR="00CC564A" w:rsidRPr="00A57F4B">
        <w:rPr>
          <w:lang w:val="en-AU"/>
        </w:rPr>
        <w:t xml:space="preserve"> </w:t>
      </w:r>
      <w:r w:rsidR="001B15BB" w:rsidRPr="00A57F4B">
        <w:rPr>
          <w:lang w:val="en-AU"/>
        </w:rPr>
        <w:t xml:space="preserve">This response also acknowledges the </w:t>
      </w:r>
      <w:r w:rsidR="002177A1" w:rsidRPr="00A57F4B">
        <w:rPr>
          <w:lang w:val="en-AU"/>
        </w:rPr>
        <w:t>contradiction between</w:t>
      </w:r>
      <w:r w:rsidR="001B15BB" w:rsidRPr="00A57F4B">
        <w:rPr>
          <w:lang w:val="en-AU"/>
        </w:rPr>
        <w:t xml:space="preserve"> Whitlam’s attitudes towards multiculturalism </w:t>
      </w:r>
      <w:r w:rsidR="002177A1" w:rsidRPr="00A57F4B">
        <w:rPr>
          <w:lang w:val="en-AU"/>
        </w:rPr>
        <w:t xml:space="preserve">and </w:t>
      </w:r>
      <w:r w:rsidR="001B15BB" w:rsidRPr="00A57F4B">
        <w:rPr>
          <w:lang w:val="en-AU"/>
        </w:rPr>
        <w:t>actions toward Vietnamese refugees.</w:t>
      </w:r>
    </w:p>
    <w:p w14:paraId="72865FA4" w14:textId="46FEA64F" w:rsidR="00A2326A" w:rsidRPr="00A57F4B" w:rsidRDefault="00C2507C" w:rsidP="00262870">
      <w:pPr>
        <w:pStyle w:val="VCAAstudentexample"/>
        <w:ind w:left="284"/>
      </w:pPr>
      <w:r w:rsidRPr="00A57F4B">
        <w:t xml:space="preserve">The idea about the assimilation of migrants changed to a minimal extent between 1900 and 2008. The very formation of Australia in 1901, saw creation of Acts designed to inhibit foreign migration, such as the Immigration Restriction Act, 1901. A decision of “plain </w:t>
      </w:r>
      <w:r w:rsidR="001B15BB" w:rsidRPr="00A57F4B">
        <w:t>hypocrisy</w:t>
      </w:r>
      <w:r w:rsidRPr="00A57F4B">
        <w:t xml:space="preserve">” (Broome) ensured only certain types of migrants were permitted through </w:t>
      </w:r>
      <w:r w:rsidR="001B15BB" w:rsidRPr="00A57F4B">
        <w:t>mechanisms</w:t>
      </w:r>
      <w:r w:rsidRPr="00A57F4B">
        <w:t xml:space="preserve"> such as the Dictation Test. Being </w:t>
      </w:r>
      <w:r w:rsidR="001B15BB" w:rsidRPr="00A57F4B">
        <w:t xml:space="preserve">Australia being </w:t>
      </w:r>
      <w:r w:rsidRPr="00A57F4B">
        <w:t xml:space="preserve">“fundamentally British” (Commonwealth Year Book), British migration was still encouraged and preferred. Post WW2, Arthur </w:t>
      </w:r>
      <w:proofErr w:type="spellStart"/>
      <w:r w:rsidRPr="00A57F4B">
        <w:t>Calwell</w:t>
      </w:r>
      <w:proofErr w:type="spellEnd"/>
      <w:r w:rsidRPr="00A57F4B">
        <w:t xml:space="preserve"> had the challenge to “end an era of unprecedented European migration” (W.D. Forsyth) and slowly ease White Australia into a different form of immigration and consequent assimilation. Landing permits given to 1000 Holocaust survivors in 1946 revealed a highly racist society as these people were depicted as “rats” and </w:t>
      </w:r>
      <w:proofErr w:type="spellStart"/>
      <w:r w:rsidRPr="00A57F4B">
        <w:t>Calwell</w:t>
      </w:r>
      <w:proofErr w:type="spellEnd"/>
      <w:r w:rsidRPr="00A57F4B">
        <w:t xml:space="preserve"> the “pied piper”. The competition for best quality displaced person” (</w:t>
      </w:r>
      <w:proofErr w:type="spellStart"/>
      <w:r w:rsidRPr="00A57F4B">
        <w:t>Tavan</w:t>
      </w:r>
      <w:proofErr w:type="spellEnd"/>
      <w:r w:rsidRPr="00A57F4B">
        <w:t xml:space="preserve">) occurred in 1947, and in an attempt to “fill this country” </w:t>
      </w:r>
      <w:proofErr w:type="spellStart"/>
      <w:r w:rsidRPr="00A57F4B">
        <w:t>Calwell</w:t>
      </w:r>
      <w:proofErr w:type="spellEnd"/>
      <w:r w:rsidRPr="00A57F4B">
        <w:t xml:space="preserve"> selected the displaced people who could assimilate most effectively into Australian society, the “Beautiful Balts”. </w:t>
      </w:r>
      <w:proofErr w:type="spellStart"/>
      <w:r w:rsidRPr="00A57F4B">
        <w:t>Calwell</w:t>
      </w:r>
      <w:proofErr w:type="spellEnd"/>
      <w:r w:rsidRPr="00A57F4B">
        <w:t xml:space="preserve"> cleverly made use of his experience as Information Minister to launch a “media propaganda campaign” (</w:t>
      </w:r>
      <w:proofErr w:type="spellStart"/>
      <w:r w:rsidRPr="00A57F4B">
        <w:t>Tavan</w:t>
      </w:r>
      <w:proofErr w:type="spellEnd"/>
      <w:r w:rsidRPr="00A57F4B">
        <w:t xml:space="preserve">) to ease Australians into a different type of migration. Despite the rapid increase of European migration, </w:t>
      </w:r>
      <w:proofErr w:type="spellStart"/>
      <w:r w:rsidRPr="00A57F4B">
        <w:t>Calwell</w:t>
      </w:r>
      <w:proofErr w:type="spellEnd"/>
      <w:r w:rsidRPr="00A57F4B">
        <w:t xml:space="preserve"> highlighted his distaste of Asians through threat of war with Japan in 20 years (</w:t>
      </w:r>
      <w:proofErr w:type="spellStart"/>
      <w:r w:rsidRPr="00A57F4B">
        <w:t>Calwell</w:t>
      </w:r>
      <w:proofErr w:type="spellEnd"/>
      <w:r w:rsidRPr="00A57F4B">
        <w:t xml:space="preserve">) and the </w:t>
      </w:r>
      <w:r w:rsidRPr="00A57F4B">
        <w:lastRenderedPageBreak/>
        <w:t xml:space="preserve">deportation of Nancy Prasad (1965). Immigrant Chang criticises </w:t>
      </w:r>
      <w:proofErr w:type="spellStart"/>
      <w:r w:rsidRPr="00A57F4B">
        <w:t>Calwell</w:t>
      </w:r>
      <w:proofErr w:type="spellEnd"/>
      <w:r w:rsidRPr="00A57F4B">
        <w:t xml:space="preserve"> as “</w:t>
      </w:r>
      <w:proofErr w:type="gramStart"/>
      <w:r w:rsidRPr="00A57F4B">
        <w:t>You</w:t>
      </w:r>
      <w:proofErr w:type="gramEnd"/>
      <w:r w:rsidRPr="00A57F4B">
        <w:t xml:space="preserve"> welcome wartime refugees but deport Asians”. Gough Whitlam in his term created the Racial Discrimination Act 1975, aiming to end a culture of assimilation, and transition to multiculturalism. Yet when faced with 96,000 Vietnamese refugees after the Vietnam War, only took 1000, as they “may become a thorn in the side of </w:t>
      </w:r>
      <w:proofErr w:type="spellStart"/>
      <w:r w:rsidRPr="00A57F4B">
        <w:t>labor</w:t>
      </w:r>
      <w:proofErr w:type="spellEnd"/>
      <w:r w:rsidRPr="00A57F4B">
        <w:t>” (Menadue). The admission of 40,000 Vietnamese refugees under Malcolm Fraser paired with the Racial Discrimination Act, 1975 helped to “change the face of Australia”. (</w:t>
      </w:r>
      <w:proofErr w:type="spellStart"/>
      <w:r w:rsidRPr="00A57F4B">
        <w:t>Tavan</w:t>
      </w:r>
      <w:proofErr w:type="spellEnd"/>
      <w:r w:rsidRPr="00A57F4B">
        <w:t>) These “great migration success stories” (</w:t>
      </w:r>
      <w:proofErr w:type="spellStart"/>
      <w:r w:rsidRPr="00A57F4B">
        <w:t>Tavan</w:t>
      </w:r>
      <w:proofErr w:type="spellEnd"/>
      <w:r w:rsidRPr="00A57F4B">
        <w:t>) eased white Australia into Multicultural Australia in the late 2000’s. Thus, to a minimal extent assimilation was favoured for integration, yet only came after decades of racism and pushback.</w:t>
      </w:r>
      <w:r w:rsidR="00CC564A" w:rsidRPr="00A57F4B">
        <w:t xml:space="preserve"> </w:t>
      </w:r>
    </w:p>
    <w:p w14:paraId="486C4AC4" w14:textId="43B14499" w:rsidR="005566E0" w:rsidRPr="00A57F4B" w:rsidRDefault="005566E0" w:rsidP="005566E0">
      <w:pPr>
        <w:pStyle w:val="VCAAHeading3"/>
        <w:rPr>
          <w:lang w:val="en-AU"/>
        </w:rPr>
      </w:pPr>
      <w:r w:rsidRPr="00A57F4B">
        <w:rPr>
          <w:lang w:val="en-AU"/>
        </w:rPr>
        <w:t>Question 3a.</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4C616C8A"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1C881A1" w14:textId="77777777" w:rsidR="00C7345C" w:rsidRPr="00A57F4B" w:rsidRDefault="00C7345C" w:rsidP="00A57F4B">
            <w:pPr>
              <w:pStyle w:val="VCAAtablecondensedheading"/>
              <w:rPr>
                <w:lang w:val="en-AU"/>
              </w:rPr>
            </w:pPr>
            <w:r w:rsidRPr="00A57F4B">
              <w:rPr>
                <w:lang w:val="en-AU"/>
              </w:rPr>
              <w:t>Marks</w:t>
            </w:r>
          </w:p>
        </w:tc>
        <w:tc>
          <w:tcPr>
            <w:tcW w:w="864" w:type="dxa"/>
          </w:tcPr>
          <w:p w14:paraId="7421D155" w14:textId="77777777" w:rsidR="00C7345C" w:rsidRPr="00A57F4B" w:rsidRDefault="00C7345C" w:rsidP="00A57F4B">
            <w:pPr>
              <w:pStyle w:val="VCAAtablecondensedheading"/>
              <w:rPr>
                <w:lang w:val="en-AU"/>
              </w:rPr>
            </w:pPr>
            <w:r w:rsidRPr="00A57F4B">
              <w:rPr>
                <w:lang w:val="en-AU"/>
              </w:rPr>
              <w:t>0</w:t>
            </w:r>
          </w:p>
        </w:tc>
        <w:tc>
          <w:tcPr>
            <w:tcW w:w="864" w:type="dxa"/>
          </w:tcPr>
          <w:p w14:paraId="50688D88" w14:textId="77777777" w:rsidR="00C7345C" w:rsidRPr="00A57F4B" w:rsidRDefault="00C7345C" w:rsidP="00A57F4B">
            <w:pPr>
              <w:pStyle w:val="VCAAtablecondensedheading"/>
              <w:rPr>
                <w:lang w:val="en-AU"/>
              </w:rPr>
            </w:pPr>
            <w:r w:rsidRPr="00A57F4B">
              <w:rPr>
                <w:lang w:val="en-AU"/>
              </w:rPr>
              <w:t>1</w:t>
            </w:r>
          </w:p>
        </w:tc>
        <w:tc>
          <w:tcPr>
            <w:tcW w:w="864" w:type="dxa"/>
          </w:tcPr>
          <w:p w14:paraId="560A8AB9" w14:textId="77777777" w:rsidR="00C7345C" w:rsidRPr="00A57F4B" w:rsidRDefault="00C7345C" w:rsidP="00A57F4B">
            <w:pPr>
              <w:pStyle w:val="VCAAtablecondensedheading"/>
              <w:rPr>
                <w:lang w:val="en-AU"/>
              </w:rPr>
            </w:pPr>
            <w:r w:rsidRPr="00A57F4B">
              <w:rPr>
                <w:lang w:val="en-AU"/>
              </w:rPr>
              <w:t>2</w:t>
            </w:r>
          </w:p>
        </w:tc>
        <w:tc>
          <w:tcPr>
            <w:tcW w:w="864" w:type="dxa"/>
          </w:tcPr>
          <w:p w14:paraId="6D78BFC2" w14:textId="77777777" w:rsidR="00C7345C" w:rsidRPr="00A57F4B" w:rsidRDefault="00C7345C" w:rsidP="00A57F4B">
            <w:pPr>
              <w:pStyle w:val="VCAAtablecondensedheading"/>
              <w:rPr>
                <w:lang w:val="en-AU"/>
              </w:rPr>
            </w:pPr>
            <w:r w:rsidRPr="00A57F4B">
              <w:rPr>
                <w:lang w:val="en-AU"/>
              </w:rPr>
              <w:t>Average</w:t>
            </w:r>
          </w:p>
        </w:tc>
      </w:tr>
      <w:tr w:rsidR="00C7345C" w:rsidRPr="00A57F4B" w14:paraId="3CE3560B" w14:textId="77777777" w:rsidTr="007838F5">
        <w:trPr>
          <w:trHeight w:hRule="exact" w:val="397"/>
        </w:trPr>
        <w:tc>
          <w:tcPr>
            <w:tcW w:w="864" w:type="dxa"/>
          </w:tcPr>
          <w:p w14:paraId="508DB5BC"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6781D1B3" w14:textId="25EC7F97" w:rsidR="00C7345C" w:rsidRPr="00A57F4B" w:rsidRDefault="000C152A" w:rsidP="00A57F4B">
            <w:pPr>
              <w:pStyle w:val="VCAAtablecondensedheading"/>
              <w:rPr>
                <w:color w:val="000000" w:themeColor="text1"/>
                <w:lang w:val="en-AU"/>
              </w:rPr>
            </w:pPr>
            <w:r w:rsidRPr="00A57F4B">
              <w:rPr>
                <w:color w:val="000000" w:themeColor="text1"/>
                <w:lang w:val="en-AU"/>
              </w:rPr>
              <w:t>2</w:t>
            </w:r>
          </w:p>
        </w:tc>
        <w:tc>
          <w:tcPr>
            <w:tcW w:w="864" w:type="dxa"/>
            <w:vAlign w:val="center"/>
          </w:tcPr>
          <w:p w14:paraId="7A56A926" w14:textId="404E647B" w:rsidR="00C7345C" w:rsidRPr="00A57F4B" w:rsidRDefault="000C152A" w:rsidP="00A57F4B">
            <w:pPr>
              <w:pStyle w:val="VCAAtablecondensedheading"/>
              <w:rPr>
                <w:color w:val="000000" w:themeColor="text1"/>
                <w:lang w:val="en-AU"/>
              </w:rPr>
            </w:pPr>
            <w:r w:rsidRPr="00A57F4B">
              <w:rPr>
                <w:color w:val="000000" w:themeColor="text1"/>
                <w:lang w:val="en-AU"/>
              </w:rPr>
              <w:t>6</w:t>
            </w:r>
          </w:p>
        </w:tc>
        <w:tc>
          <w:tcPr>
            <w:tcW w:w="864" w:type="dxa"/>
            <w:vAlign w:val="center"/>
          </w:tcPr>
          <w:p w14:paraId="69A410F0" w14:textId="4AA50E8E" w:rsidR="00C7345C" w:rsidRPr="00A57F4B" w:rsidRDefault="000C152A" w:rsidP="00A57F4B">
            <w:pPr>
              <w:pStyle w:val="VCAAtablecondensedheading"/>
              <w:rPr>
                <w:color w:val="000000" w:themeColor="text1"/>
                <w:lang w:val="en-AU"/>
              </w:rPr>
            </w:pPr>
            <w:r w:rsidRPr="00A57F4B">
              <w:rPr>
                <w:color w:val="000000" w:themeColor="text1"/>
                <w:lang w:val="en-AU"/>
              </w:rPr>
              <w:t>92</w:t>
            </w:r>
          </w:p>
        </w:tc>
        <w:tc>
          <w:tcPr>
            <w:tcW w:w="864" w:type="dxa"/>
          </w:tcPr>
          <w:p w14:paraId="562AA406" w14:textId="72477770" w:rsidR="00C7345C" w:rsidRPr="00A57F4B" w:rsidRDefault="000C152A" w:rsidP="00A57F4B">
            <w:pPr>
              <w:pStyle w:val="VCAAtablecondensedheading"/>
              <w:rPr>
                <w:color w:val="000000" w:themeColor="text1"/>
                <w:lang w:val="en-AU"/>
              </w:rPr>
            </w:pPr>
            <w:r w:rsidRPr="00A57F4B">
              <w:rPr>
                <w:color w:val="000000" w:themeColor="text1"/>
                <w:lang w:val="en-AU"/>
              </w:rPr>
              <w:t>1.9</w:t>
            </w:r>
          </w:p>
        </w:tc>
      </w:tr>
    </w:tbl>
    <w:p w14:paraId="4337D6C8" w14:textId="3ED6771D" w:rsidR="00BB64D5" w:rsidRPr="00A57F4B" w:rsidRDefault="00AF6F63" w:rsidP="00BB64D5">
      <w:pPr>
        <w:pStyle w:val="VCAAbody"/>
        <w:rPr>
          <w:lang w:val="en-AU"/>
        </w:rPr>
      </w:pPr>
      <w:r w:rsidRPr="00A57F4B">
        <w:rPr>
          <w:lang w:val="en-AU"/>
        </w:rPr>
        <w:t>This question</w:t>
      </w:r>
      <w:r w:rsidR="00A41062" w:rsidRPr="00A57F4B">
        <w:rPr>
          <w:lang w:val="en-AU"/>
        </w:rPr>
        <w:t xml:space="preserve"> asked students to identify </w:t>
      </w:r>
      <w:r w:rsidR="00B65530" w:rsidRPr="00A57F4B">
        <w:rPr>
          <w:lang w:val="en-AU"/>
        </w:rPr>
        <w:t xml:space="preserve">two </w:t>
      </w:r>
      <w:r w:rsidR="00A41062" w:rsidRPr="00A57F4B">
        <w:rPr>
          <w:lang w:val="en-AU"/>
        </w:rPr>
        <w:t>responses by Aboriginal people to the challenge of coloni</w:t>
      </w:r>
      <w:r w:rsidR="00067172" w:rsidRPr="00A57F4B">
        <w:rPr>
          <w:lang w:val="en-AU"/>
        </w:rPr>
        <w:t>s</w:t>
      </w:r>
      <w:r w:rsidR="00A41062" w:rsidRPr="00A57F4B">
        <w:rPr>
          <w:lang w:val="en-AU"/>
        </w:rPr>
        <w:t>ation in the Portland District from Source 9, an extract from a letter by Magistrate James Blair.</w:t>
      </w:r>
      <w:r w:rsidR="00CC564A" w:rsidRPr="00A57F4B">
        <w:rPr>
          <w:lang w:val="en-AU"/>
        </w:rPr>
        <w:t xml:space="preserve"> </w:t>
      </w:r>
      <w:r w:rsidR="00DF7FB9" w:rsidRPr="00A57F4B">
        <w:rPr>
          <w:lang w:val="en-AU"/>
        </w:rPr>
        <w:t>A high proportion of</w:t>
      </w:r>
      <w:r w:rsidR="00A41062" w:rsidRPr="00A57F4B">
        <w:rPr>
          <w:lang w:val="en-AU"/>
        </w:rPr>
        <w:t xml:space="preserve"> </w:t>
      </w:r>
      <w:r w:rsidR="00DF7FB9" w:rsidRPr="00A57F4B">
        <w:rPr>
          <w:lang w:val="en-AU"/>
        </w:rPr>
        <w:t>students</w:t>
      </w:r>
      <w:r w:rsidR="00A41062" w:rsidRPr="00A57F4B">
        <w:rPr>
          <w:lang w:val="en-AU"/>
        </w:rPr>
        <w:t xml:space="preserve"> were able to effectively identify a range of Aboriginal responses that included harassment, direct violence towards people</w:t>
      </w:r>
      <w:r w:rsidR="00452DBD" w:rsidRPr="00A57F4B">
        <w:rPr>
          <w:lang w:val="en-AU"/>
        </w:rPr>
        <w:t xml:space="preserve"> such as</w:t>
      </w:r>
      <w:r w:rsidR="00A41062" w:rsidRPr="00A57F4B">
        <w:rPr>
          <w:lang w:val="en-AU"/>
        </w:rPr>
        <w:t xml:space="preserve"> the murdering of shepherds, or the economic violence of </w:t>
      </w:r>
      <w:r w:rsidR="00DF7FB9" w:rsidRPr="00A57F4B">
        <w:rPr>
          <w:lang w:val="en-AU"/>
        </w:rPr>
        <w:t>stealing their sheep.</w:t>
      </w:r>
    </w:p>
    <w:p w14:paraId="780DC990" w14:textId="7F369640" w:rsidR="005566E0" w:rsidRPr="00A57F4B" w:rsidRDefault="005566E0" w:rsidP="005566E0">
      <w:pPr>
        <w:pStyle w:val="VCAAHeading3"/>
        <w:rPr>
          <w:lang w:val="en-AU"/>
        </w:rPr>
      </w:pPr>
      <w:r w:rsidRPr="00A57F4B">
        <w:rPr>
          <w:lang w:val="en-AU"/>
        </w:rPr>
        <w:t>Question 3b.</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tblGrid>
      <w:tr w:rsidR="00C7345C" w:rsidRPr="00A57F4B" w14:paraId="68ECB65B"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557955B" w14:textId="77777777" w:rsidR="00C7345C" w:rsidRPr="00A57F4B" w:rsidRDefault="00C7345C" w:rsidP="00A57F4B">
            <w:pPr>
              <w:pStyle w:val="VCAAtablecondensedheading"/>
              <w:rPr>
                <w:lang w:val="en-AU"/>
              </w:rPr>
            </w:pPr>
            <w:r w:rsidRPr="00A57F4B">
              <w:rPr>
                <w:lang w:val="en-AU"/>
              </w:rPr>
              <w:t>Marks</w:t>
            </w:r>
          </w:p>
        </w:tc>
        <w:tc>
          <w:tcPr>
            <w:tcW w:w="864" w:type="dxa"/>
          </w:tcPr>
          <w:p w14:paraId="1C09AE62" w14:textId="77777777" w:rsidR="00C7345C" w:rsidRPr="00A57F4B" w:rsidRDefault="00C7345C" w:rsidP="00A57F4B">
            <w:pPr>
              <w:pStyle w:val="VCAAtablecondensedheading"/>
              <w:rPr>
                <w:lang w:val="en-AU"/>
              </w:rPr>
            </w:pPr>
            <w:r w:rsidRPr="00A57F4B">
              <w:rPr>
                <w:lang w:val="en-AU"/>
              </w:rPr>
              <w:t>0</w:t>
            </w:r>
          </w:p>
        </w:tc>
        <w:tc>
          <w:tcPr>
            <w:tcW w:w="864" w:type="dxa"/>
          </w:tcPr>
          <w:p w14:paraId="3A73B5C7" w14:textId="77777777" w:rsidR="00C7345C" w:rsidRPr="00A57F4B" w:rsidRDefault="00C7345C" w:rsidP="00A57F4B">
            <w:pPr>
              <w:pStyle w:val="VCAAtablecondensedheading"/>
              <w:rPr>
                <w:lang w:val="en-AU"/>
              </w:rPr>
            </w:pPr>
            <w:r w:rsidRPr="00A57F4B">
              <w:rPr>
                <w:lang w:val="en-AU"/>
              </w:rPr>
              <w:t>1</w:t>
            </w:r>
          </w:p>
        </w:tc>
        <w:tc>
          <w:tcPr>
            <w:tcW w:w="864" w:type="dxa"/>
          </w:tcPr>
          <w:p w14:paraId="04115469" w14:textId="77777777" w:rsidR="00C7345C" w:rsidRPr="00A57F4B" w:rsidRDefault="00C7345C" w:rsidP="00A57F4B">
            <w:pPr>
              <w:pStyle w:val="VCAAtablecondensedheading"/>
              <w:rPr>
                <w:lang w:val="en-AU"/>
              </w:rPr>
            </w:pPr>
            <w:r w:rsidRPr="00A57F4B">
              <w:rPr>
                <w:lang w:val="en-AU"/>
              </w:rPr>
              <w:t>2</w:t>
            </w:r>
          </w:p>
        </w:tc>
        <w:tc>
          <w:tcPr>
            <w:tcW w:w="864" w:type="dxa"/>
          </w:tcPr>
          <w:p w14:paraId="27DFEDB4" w14:textId="77777777" w:rsidR="00C7345C" w:rsidRPr="00A57F4B" w:rsidRDefault="00C7345C" w:rsidP="00A57F4B">
            <w:pPr>
              <w:pStyle w:val="VCAAtablecondensedheading"/>
              <w:rPr>
                <w:lang w:val="en-AU"/>
              </w:rPr>
            </w:pPr>
            <w:r w:rsidRPr="00A57F4B">
              <w:rPr>
                <w:lang w:val="en-AU"/>
              </w:rPr>
              <w:t>3</w:t>
            </w:r>
          </w:p>
        </w:tc>
        <w:tc>
          <w:tcPr>
            <w:tcW w:w="864" w:type="dxa"/>
          </w:tcPr>
          <w:p w14:paraId="54AED6A6" w14:textId="77777777" w:rsidR="00C7345C" w:rsidRPr="00A57F4B" w:rsidRDefault="00C7345C" w:rsidP="00A57F4B">
            <w:pPr>
              <w:pStyle w:val="VCAAtablecondensedheading"/>
              <w:rPr>
                <w:lang w:val="en-AU"/>
              </w:rPr>
            </w:pPr>
            <w:r w:rsidRPr="00A57F4B">
              <w:rPr>
                <w:lang w:val="en-AU"/>
              </w:rPr>
              <w:t>4</w:t>
            </w:r>
          </w:p>
        </w:tc>
        <w:tc>
          <w:tcPr>
            <w:tcW w:w="864" w:type="dxa"/>
          </w:tcPr>
          <w:p w14:paraId="526D8A5A" w14:textId="77777777" w:rsidR="00C7345C" w:rsidRPr="00A57F4B" w:rsidRDefault="00C7345C" w:rsidP="00A57F4B">
            <w:pPr>
              <w:pStyle w:val="VCAAtablecondensedheading"/>
              <w:rPr>
                <w:lang w:val="en-AU"/>
              </w:rPr>
            </w:pPr>
            <w:r w:rsidRPr="00A57F4B">
              <w:rPr>
                <w:lang w:val="en-AU"/>
              </w:rPr>
              <w:t>5</w:t>
            </w:r>
          </w:p>
        </w:tc>
        <w:tc>
          <w:tcPr>
            <w:tcW w:w="864" w:type="dxa"/>
          </w:tcPr>
          <w:p w14:paraId="4F6175B0" w14:textId="77777777" w:rsidR="00C7345C" w:rsidRPr="00A57F4B" w:rsidRDefault="00C7345C" w:rsidP="00A57F4B">
            <w:pPr>
              <w:pStyle w:val="VCAAtablecondensedheading"/>
              <w:rPr>
                <w:lang w:val="en-AU"/>
              </w:rPr>
            </w:pPr>
            <w:r w:rsidRPr="00A57F4B">
              <w:rPr>
                <w:lang w:val="en-AU"/>
              </w:rPr>
              <w:t>Average</w:t>
            </w:r>
          </w:p>
        </w:tc>
      </w:tr>
      <w:tr w:rsidR="00C7345C" w:rsidRPr="00A57F4B" w14:paraId="1FC0A6E0" w14:textId="77777777" w:rsidTr="007838F5">
        <w:trPr>
          <w:trHeight w:hRule="exact" w:val="397"/>
        </w:trPr>
        <w:tc>
          <w:tcPr>
            <w:tcW w:w="864" w:type="dxa"/>
          </w:tcPr>
          <w:p w14:paraId="5C1C9D98"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50D6B692" w14:textId="485D91CC" w:rsidR="00C7345C" w:rsidRPr="00A57F4B" w:rsidRDefault="000C152A" w:rsidP="00A57F4B">
            <w:pPr>
              <w:pStyle w:val="VCAAtablecondensedheading"/>
              <w:rPr>
                <w:color w:val="000000" w:themeColor="text1"/>
                <w:lang w:val="en-AU"/>
              </w:rPr>
            </w:pPr>
            <w:r w:rsidRPr="00A57F4B">
              <w:rPr>
                <w:color w:val="000000" w:themeColor="text1"/>
                <w:lang w:val="en-AU"/>
              </w:rPr>
              <w:t>5</w:t>
            </w:r>
          </w:p>
        </w:tc>
        <w:tc>
          <w:tcPr>
            <w:tcW w:w="864" w:type="dxa"/>
            <w:vAlign w:val="center"/>
          </w:tcPr>
          <w:p w14:paraId="5826DD86" w14:textId="749BF003" w:rsidR="00C7345C" w:rsidRPr="00A57F4B" w:rsidRDefault="000C152A" w:rsidP="00A57F4B">
            <w:pPr>
              <w:pStyle w:val="VCAAtablecondensedheading"/>
              <w:rPr>
                <w:color w:val="000000" w:themeColor="text1"/>
                <w:lang w:val="en-AU"/>
              </w:rPr>
            </w:pPr>
            <w:r w:rsidRPr="00A57F4B">
              <w:rPr>
                <w:color w:val="000000" w:themeColor="text1"/>
                <w:lang w:val="en-AU"/>
              </w:rPr>
              <w:t>9</w:t>
            </w:r>
          </w:p>
        </w:tc>
        <w:tc>
          <w:tcPr>
            <w:tcW w:w="864" w:type="dxa"/>
            <w:vAlign w:val="center"/>
          </w:tcPr>
          <w:p w14:paraId="660D3964" w14:textId="5D88791C" w:rsidR="00C7345C" w:rsidRPr="00A57F4B" w:rsidRDefault="000C152A" w:rsidP="00A57F4B">
            <w:pPr>
              <w:pStyle w:val="VCAAtablecondensedheading"/>
              <w:rPr>
                <w:color w:val="000000" w:themeColor="text1"/>
                <w:lang w:val="en-AU"/>
              </w:rPr>
            </w:pPr>
            <w:r w:rsidRPr="00A57F4B">
              <w:rPr>
                <w:color w:val="000000" w:themeColor="text1"/>
                <w:lang w:val="en-AU"/>
              </w:rPr>
              <w:t>22</w:t>
            </w:r>
          </w:p>
        </w:tc>
        <w:tc>
          <w:tcPr>
            <w:tcW w:w="864" w:type="dxa"/>
          </w:tcPr>
          <w:p w14:paraId="245F97C2" w14:textId="43A2BEDE" w:rsidR="00C7345C" w:rsidRPr="00A57F4B" w:rsidRDefault="000C152A" w:rsidP="00A57F4B">
            <w:pPr>
              <w:pStyle w:val="VCAAtablecondensedheading"/>
              <w:rPr>
                <w:color w:val="000000" w:themeColor="text1"/>
                <w:lang w:val="en-AU"/>
              </w:rPr>
            </w:pPr>
            <w:r w:rsidRPr="00A57F4B">
              <w:rPr>
                <w:color w:val="000000" w:themeColor="text1"/>
                <w:lang w:val="en-AU"/>
              </w:rPr>
              <w:t>30</w:t>
            </w:r>
          </w:p>
        </w:tc>
        <w:tc>
          <w:tcPr>
            <w:tcW w:w="864" w:type="dxa"/>
          </w:tcPr>
          <w:p w14:paraId="024DAC92" w14:textId="098F6939" w:rsidR="00C7345C" w:rsidRPr="00A57F4B" w:rsidRDefault="000C152A" w:rsidP="00A57F4B">
            <w:pPr>
              <w:pStyle w:val="VCAAtablecondensedheading"/>
              <w:rPr>
                <w:color w:val="000000" w:themeColor="text1"/>
                <w:lang w:val="en-AU"/>
              </w:rPr>
            </w:pPr>
            <w:r w:rsidRPr="00A57F4B">
              <w:rPr>
                <w:color w:val="000000" w:themeColor="text1"/>
                <w:lang w:val="en-AU"/>
              </w:rPr>
              <w:t>25</w:t>
            </w:r>
          </w:p>
        </w:tc>
        <w:tc>
          <w:tcPr>
            <w:tcW w:w="864" w:type="dxa"/>
          </w:tcPr>
          <w:p w14:paraId="78E20E44" w14:textId="5E4FDA7B" w:rsidR="00C7345C" w:rsidRPr="00A57F4B" w:rsidRDefault="000C152A" w:rsidP="00A57F4B">
            <w:pPr>
              <w:pStyle w:val="VCAAtablecondensedheading"/>
              <w:rPr>
                <w:color w:val="000000" w:themeColor="text1"/>
                <w:lang w:val="en-AU"/>
              </w:rPr>
            </w:pPr>
            <w:r w:rsidRPr="00A57F4B">
              <w:rPr>
                <w:color w:val="000000" w:themeColor="text1"/>
                <w:lang w:val="en-AU"/>
              </w:rPr>
              <w:t>9</w:t>
            </w:r>
          </w:p>
        </w:tc>
        <w:tc>
          <w:tcPr>
            <w:tcW w:w="864" w:type="dxa"/>
          </w:tcPr>
          <w:p w14:paraId="134A2D83" w14:textId="149DE5C1" w:rsidR="00C7345C" w:rsidRPr="00A57F4B" w:rsidRDefault="000C152A" w:rsidP="00A57F4B">
            <w:pPr>
              <w:pStyle w:val="VCAAtablecondensedheading"/>
              <w:rPr>
                <w:color w:val="000000" w:themeColor="text1"/>
                <w:lang w:val="en-AU"/>
              </w:rPr>
            </w:pPr>
            <w:r w:rsidRPr="00A57F4B">
              <w:rPr>
                <w:color w:val="000000" w:themeColor="text1"/>
                <w:lang w:val="en-AU"/>
              </w:rPr>
              <w:t>5.4</w:t>
            </w:r>
          </w:p>
        </w:tc>
      </w:tr>
    </w:tbl>
    <w:p w14:paraId="3252577B" w14:textId="749CF903" w:rsidR="004F3F5F" w:rsidRPr="00A57F4B" w:rsidRDefault="00A10E7B" w:rsidP="00BB64D5">
      <w:pPr>
        <w:pStyle w:val="VCAAbody"/>
        <w:rPr>
          <w:lang w:val="en-AU"/>
        </w:rPr>
      </w:pPr>
      <w:r w:rsidRPr="00A57F4B">
        <w:rPr>
          <w:lang w:val="en-AU"/>
        </w:rPr>
        <w:t>This question required s</w:t>
      </w:r>
      <w:r w:rsidR="00DF7FB9" w:rsidRPr="00A57F4B">
        <w:rPr>
          <w:lang w:val="en-AU"/>
        </w:rPr>
        <w:t>tudents</w:t>
      </w:r>
      <w:r w:rsidR="004F3F5F" w:rsidRPr="00A57F4B">
        <w:rPr>
          <w:lang w:val="en-AU"/>
        </w:rPr>
        <w:t xml:space="preserve"> to </w:t>
      </w:r>
      <w:r w:rsidR="00B65530" w:rsidRPr="00A57F4B">
        <w:rPr>
          <w:lang w:val="en-AU"/>
        </w:rPr>
        <w:t xml:space="preserve">explain the </w:t>
      </w:r>
      <w:r w:rsidR="004F3F5F" w:rsidRPr="00A57F4B">
        <w:rPr>
          <w:lang w:val="en-AU"/>
        </w:rPr>
        <w:t xml:space="preserve">impacts </w:t>
      </w:r>
      <w:r w:rsidR="00DF7FB9" w:rsidRPr="00A57F4B">
        <w:rPr>
          <w:lang w:val="en-AU"/>
        </w:rPr>
        <w:t xml:space="preserve">of frontier battlers and conflicts </w:t>
      </w:r>
      <w:r w:rsidR="004F3F5F" w:rsidRPr="00A57F4B">
        <w:rPr>
          <w:lang w:val="en-AU"/>
        </w:rPr>
        <w:t>on both Aboriginal</w:t>
      </w:r>
      <w:r w:rsidR="00E447E3" w:rsidRPr="00A57F4B">
        <w:rPr>
          <w:lang w:val="en-AU"/>
        </w:rPr>
        <w:t xml:space="preserve"> people</w:t>
      </w:r>
      <w:r w:rsidR="004F3F5F" w:rsidRPr="00A57F4B">
        <w:rPr>
          <w:lang w:val="en-AU"/>
        </w:rPr>
        <w:t xml:space="preserve"> and </w:t>
      </w:r>
      <w:r w:rsidR="00DF7FB9" w:rsidRPr="00A57F4B">
        <w:rPr>
          <w:lang w:val="en-AU"/>
        </w:rPr>
        <w:t>pastoralists</w:t>
      </w:r>
      <w:r w:rsidR="004F3F5F" w:rsidRPr="00A57F4B">
        <w:rPr>
          <w:lang w:val="en-AU"/>
        </w:rPr>
        <w:t xml:space="preserve"> using </w:t>
      </w:r>
      <w:r w:rsidR="00DF7FB9" w:rsidRPr="00A57F4B">
        <w:rPr>
          <w:lang w:val="en-AU"/>
        </w:rPr>
        <w:t>Source 10 (an extract from historian Henry Reynolds)</w:t>
      </w:r>
      <w:r w:rsidR="004F3F5F" w:rsidRPr="00A57F4B">
        <w:rPr>
          <w:lang w:val="en-AU"/>
        </w:rPr>
        <w:t xml:space="preserve"> and then </w:t>
      </w:r>
      <w:r w:rsidR="00136983" w:rsidRPr="00A57F4B">
        <w:rPr>
          <w:lang w:val="en-AU"/>
        </w:rPr>
        <w:t>identify a contribution</w:t>
      </w:r>
      <w:r w:rsidR="004F3F5F" w:rsidRPr="00A57F4B">
        <w:rPr>
          <w:lang w:val="en-AU"/>
        </w:rPr>
        <w:t xml:space="preserve"> to a political chang</w:t>
      </w:r>
      <w:r w:rsidR="00DF7FB9" w:rsidRPr="00A57F4B">
        <w:rPr>
          <w:lang w:val="en-AU"/>
        </w:rPr>
        <w:t>e.</w:t>
      </w:r>
      <w:r w:rsidR="00CC564A" w:rsidRPr="00A57F4B">
        <w:rPr>
          <w:lang w:val="en-AU"/>
        </w:rPr>
        <w:t xml:space="preserve"> </w:t>
      </w:r>
      <w:r w:rsidR="00DF7FB9" w:rsidRPr="00A57F4B">
        <w:rPr>
          <w:lang w:val="en-AU"/>
        </w:rPr>
        <w:t xml:space="preserve">While most students were able to </w:t>
      </w:r>
      <w:r w:rsidR="00B65530" w:rsidRPr="00A57F4B">
        <w:rPr>
          <w:lang w:val="en-AU"/>
        </w:rPr>
        <w:t xml:space="preserve">explain </w:t>
      </w:r>
      <w:r w:rsidR="00DF7FB9" w:rsidRPr="00A57F4B">
        <w:rPr>
          <w:lang w:val="en-AU"/>
        </w:rPr>
        <w:t>the impacts of frontier battles and conflicts on Aboriginal people effectively, describing the dispossession and population collapse, some responses neglected to identify the impacts of the violence on the pastoralists as well, which similarly could have included the physical toll inflicted by Aboriginal violent resistance, or the economic damage and risk that frontier violence posed for the pastoralists.</w:t>
      </w:r>
      <w:r w:rsidR="00CC564A" w:rsidRPr="00A57F4B">
        <w:rPr>
          <w:lang w:val="en-AU"/>
        </w:rPr>
        <w:t xml:space="preserve"> </w:t>
      </w:r>
      <w:r w:rsidR="00DF7FB9" w:rsidRPr="00A57F4B">
        <w:rPr>
          <w:lang w:val="en-AU"/>
        </w:rPr>
        <w:t>The final instruction in the question, about contributing to political change, proved the most challenging for students.</w:t>
      </w:r>
      <w:r w:rsidR="00CC564A" w:rsidRPr="00A57F4B">
        <w:rPr>
          <w:lang w:val="en-AU"/>
        </w:rPr>
        <w:t xml:space="preserve"> </w:t>
      </w:r>
      <w:r w:rsidR="00DF7FB9" w:rsidRPr="00A57F4B">
        <w:rPr>
          <w:lang w:val="en-AU"/>
        </w:rPr>
        <w:t>Contributions to political change resulting from frontier battles and conflicts that were identified by students included the</w:t>
      </w:r>
      <w:r w:rsidR="004F3F5F" w:rsidRPr="00A57F4B">
        <w:rPr>
          <w:lang w:val="en-AU"/>
        </w:rPr>
        <w:t xml:space="preserve"> European system of law and governance replacing traditional Aboriginal systems</w:t>
      </w:r>
      <w:r w:rsidR="00DF7FB9" w:rsidRPr="00A57F4B">
        <w:rPr>
          <w:lang w:val="en-AU"/>
        </w:rPr>
        <w:t xml:space="preserve">, the confirmation of economic and political power of the pastoralists, or </w:t>
      </w:r>
      <w:r w:rsidR="004F3F5F" w:rsidRPr="00A57F4B">
        <w:rPr>
          <w:lang w:val="en-AU"/>
        </w:rPr>
        <w:t>specific laws that were introduced to attend to the issues faced by Aboriginal people as a result of colonialism.</w:t>
      </w:r>
    </w:p>
    <w:p w14:paraId="69EE09D8" w14:textId="3FDCB5A0" w:rsidR="00001584" w:rsidRPr="00A57F4B" w:rsidRDefault="00001584" w:rsidP="00BB64D5">
      <w:pPr>
        <w:pStyle w:val="VCAAbody"/>
        <w:rPr>
          <w:lang w:val="en-AU"/>
        </w:rPr>
      </w:pPr>
      <w:r w:rsidRPr="00A57F4B">
        <w:rPr>
          <w:lang w:val="en-AU"/>
        </w:rPr>
        <w:t xml:space="preserve">The following response provides a strong </w:t>
      </w:r>
      <w:r w:rsidR="00246695" w:rsidRPr="00A57F4B">
        <w:rPr>
          <w:lang w:val="en-AU"/>
        </w:rPr>
        <w:t xml:space="preserve">explanation </w:t>
      </w:r>
      <w:r w:rsidRPr="00A57F4B">
        <w:rPr>
          <w:lang w:val="en-AU"/>
        </w:rPr>
        <w:t xml:space="preserve">of impacts on Aboriginal people and pastoralists and made effective use of </w:t>
      </w:r>
      <w:r w:rsidR="006E2C1A" w:rsidRPr="00A57F4B">
        <w:rPr>
          <w:lang w:val="en-AU"/>
        </w:rPr>
        <w:t>S</w:t>
      </w:r>
      <w:r w:rsidRPr="00A57F4B">
        <w:rPr>
          <w:lang w:val="en-AU"/>
        </w:rPr>
        <w:t>ource 10.</w:t>
      </w:r>
      <w:r w:rsidR="00CC564A" w:rsidRPr="00A57F4B">
        <w:rPr>
          <w:lang w:val="en-AU"/>
        </w:rPr>
        <w:t xml:space="preserve"> </w:t>
      </w:r>
      <w:r w:rsidRPr="00A57F4B">
        <w:rPr>
          <w:lang w:val="en-AU"/>
        </w:rPr>
        <w:t>However, this response sought to evaluate whether political change occurred as a result, concluding that there was minimal political change resulting from frontier battles, rather than identifying a contribution that the frontier battles made to political change in Australia.</w:t>
      </w:r>
    </w:p>
    <w:p w14:paraId="202B0E8A" w14:textId="3584C1BD" w:rsidR="00136983" w:rsidRPr="00A57F4B" w:rsidRDefault="00136983" w:rsidP="00262870">
      <w:pPr>
        <w:pStyle w:val="VCAAstudentexample"/>
        <w:ind w:left="284"/>
      </w:pPr>
      <w:r w:rsidRPr="00A57F4B">
        <w:t>Frontier battles had a significant impact on pastoralists and Aboriginal people and minimal impact on political change.</w:t>
      </w:r>
      <w:r w:rsidR="00CC564A" w:rsidRPr="00A57F4B">
        <w:t xml:space="preserve"> </w:t>
      </w:r>
      <w:r w:rsidRPr="00A57F4B">
        <w:t>As described in source 10, the frontier was a place of unrestricted violence where pioneers and Aborigines were left to “fight out” for the control of the land.</w:t>
      </w:r>
      <w:r w:rsidR="00CC564A" w:rsidRPr="00A57F4B">
        <w:t xml:space="preserve"> </w:t>
      </w:r>
      <w:r w:rsidRPr="00A57F4B">
        <w:t>There were minimal attempts at restriction as “no government could have effectively policed the frontier” (s10), though there was the occasional punishment as seen in the Myall Creek Massacre 1838 where the pastoralists were hanged for the murder of 28 Aborigines.</w:t>
      </w:r>
      <w:r w:rsidR="00CC564A" w:rsidRPr="00A57F4B">
        <w:t xml:space="preserve"> </w:t>
      </w:r>
      <w:r w:rsidRPr="00A57F4B">
        <w:t>The impact of the frontier wars for Aboriginal people was devastating as it saw them become displaced from their land and murdered in the process.</w:t>
      </w:r>
      <w:r w:rsidR="00CC564A" w:rsidRPr="00A57F4B">
        <w:t xml:space="preserve"> </w:t>
      </w:r>
      <w:r w:rsidRPr="00A57F4B">
        <w:t xml:space="preserve">However, this sparked resistance from many which was “widespread and persistent” (Reynolds) which negatively impacted the </w:t>
      </w:r>
      <w:r w:rsidRPr="00A57F4B">
        <w:lastRenderedPageBreak/>
        <w:t>pastoralist invaders.</w:t>
      </w:r>
      <w:r w:rsidR="00CC564A" w:rsidRPr="00A57F4B">
        <w:t xml:space="preserve"> </w:t>
      </w:r>
      <w:r w:rsidRPr="00A57F4B">
        <w:t xml:space="preserve">A clear instance of this is in the 1840s </w:t>
      </w:r>
      <w:proofErr w:type="spellStart"/>
      <w:r w:rsidRPr="00A57F4B">
        <w:t>Eumeralla</w:t>
      </w:r>
      <w:proofErr w:type="spellEnd"/>
      <w:r w:rsidRPr="00A57F4B">
        <w:t xml:space="preserve"> Wars where the </w:t>
      </w:r>
      <w:proofErr w:type="spellStart"/>
      <w:r w:rsidRPr="00A57F4B">
        <w:t>Gundijtmara</w:t>
      </w:r>
      <w:proofErr w:type="spellEnd"/>
      <w:r w:rsidRPr="00A57F4B">
        <w:t xml:space="preserve"> people massacred over 3000 sheep across the conflict which was worth over $1million in today’s money.</w:t>
      </w:r>
      <w:r w:rsidR="00CC564A" w:rsidRPr="00A57F4B">
        <w:t xml:space="preserve"> </w:t>
      </w:r>
      <w:r w:rsidRPr="00A57F4B">
        <w:t xml:space="preserve">Their use of violence and aggression from both sides </w:t>
      </w:r>
      <w:proofErr w:type="spellStart"/>
      <w:r w:rsidRPr="00A57F4B">
        <w:t>fueled</w:t>
      </w:r>
      <w:proofErr w:type="spellEnd"/>
      <w:r w:rsidRPr="00A57F4B">
        <w:t xml:space="preserve"> reciprocal violence and made the frontier a place of fear with minimal political change caused as a reaction, with much of the violence being either “officially sanctioned” (s10) or ignored by colonial authorities.</w:t>
      </w:r>
    </w:p>
    <w:p w14:paraId="7CCA59A8" w14:textId="4509D436" w:rsidR="00001584" w:rsidRPr="00A57F4B" w:rsidRDefault="00503D62" w:rsidP="006D4AE4">
      <w:pPr>
        <w:pStyle w:val="VCAAbody"/>
        <w:rPr>
          <w:lang w:val="en-AU"/>
        </w:rPr>
      </w:pPr>
      <w:r w:rsidRPr="00A57F4B">
        <w:rPr>
          <w:lang w:val="en-AU"/>
        </w:rPr>
        <w:t>This response could have been improved with a statement that linked the violence to political change</w:t>
      </w:r>
      <w:r w:rsidR="00A36F2D">
        <w:rPr>
          <w:lang w:val="en-AU"/>
        </w:rPr>
        <w:t>;</w:t>
      </w:r>
      <w:r w:rsidR="00A36F2D" w:rsidRPr="00A57F4B">
        <w:rPr>
          <w:lang w:val="en-AU"/>
        </w:rPr>
        <w:t xml:space="preserve"> </w:t>
      </w:r>
      <w:r w:rsidRPr="00A57F4B">
        <w:rPr>
          <w:lang w:val="en-AU"/>
        </w:rPr>
        <w:t>for example ‘As a consequence of frontier conflict, pastoralists took control of the land and European systems of laws prevailed, and large landowners became a powerful political force as the colonies pushed for self-government between 1823 and 1860’</w:t>
      </w:r>
      <w:r w:rsidR="007A7E24" w:rsidRPr="00A57F4B">
        <w:rPr>
          <w:lang w:val="en-AU"/>
        </w:rPr>
        <w:t>.</w:t>
      </w:r>
    </w:p>
    <w:p w14:paraId="74B20751" w14:textId="7515178C" w:rsidR="005566E0" w:rsidRPr="00A57F4B" w:rsidRDefault="005566E0" w:rsidP="005566E0">
      <w:pPr>
        <w:pStyle w:val="VCAAHeading3"/>
        <w:rPr>
          <w:lang w:val="en-AU"/>
        </w:rPr>
      </w:pPr>
      <w:r w:rsidRPr="00A57F4B">
        <w:rPr>
          <w:lang w:val="en-AU"/>
        </w:rPr>
        <w:t>Question 3c.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E111F3" w:rsidRPr="00A57F4B" w14:paraId="0E7606DD"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61DA7C9" w14:textId="77777777" w:rsidR="00E111F3" w:rsidRPr="00A57F4B" w:rsidRDefault="00E111F3" w:rsidP="00A57F4B">
            <w:pPr>
              <w:pStyle w:val="VCAAtablecondensedheading"/>
              <w:rPr>
                <w:lang w:val="en-AU"/>
              </w:rPr>
            </w:pPr>
            <w:r w:rsidRPr="00A57F4B">
              <w:rPr>
                <w:lang w:val="en-AU"/>
              </w:rPr>
              <w:t>Marks</w:t>
            </w:r>
          </w:p>
        </w:tc>
        <w:tc>
          <w:tcPr>
            <w:tcW w:w="864" w:type="dxa"/>
          </w:tcPr>
          <w:p w14:paraId="2ABAA13D" w14:textId="77777777" w:rsidR="00E111F3" w:rsidRPr="00A57F4B" w:rsidRDefault="00E111F3" w:rsidP="00A57F4B">
            <w:pPr>
              <w:pStyle w:val="VCAAtablecondensedheading"/>
              <w:rPr>
                <w:lang w:val="en-AU"/>
              </w:rPr>
            </w:pPr>
            <w:r w:rsidRPr="00A57F4B">
              <w:rPr>
                <w:lang w:val="en-AU"/>
              </w:rPr>
              <w:t>0</w:t>
            </w:r>
          </w:p>
        </w:tc>
        <w:tc>
          <w:tcPr>
            <w:tcW w:w="864" w:type="dxa"/>
          </w:tcPr>
          <w:p w14:paraId="54C8651F" w14:textId="77777777" w:rsidR="00E111F3" w:rsidRPr="00A57F4B" w:rsidRDefault="00E111F3" w:rsidP="00A57F4B">
            <w:pPr>
              <w:pStyle w:val="VCAAtablecondensedheading"/>
              <w:rPr>
                <w:lang w:val="en-AU"/>
              </w:rPr>
            </w:pPr>
            <w:r w:rsidRPr="00A57F4B">
              <w:rPr>
                <w:lang w:val="en-AU"/>
              </w:rPr>
              <w:t>1</w:t>
            </w:r>
          </w:p>
        </w:tc>
        <w:tc>
          <w:tcPr>
            <w:tcW w:w="864" w:type="dxa"/>
          </w:tcPr>
          <w:p w14:paraId="26DC2670" w14:textId="77777777" w:rsidR="00E111F3" w:rsidRPr="00A57F4B" w:rsidRDefault="00E111F3" w:rsidP="00A57F4B">
            <w:pPr>
              <w:pStyle w:val="VCAAtablecondensedheading"/>
              <w:rPr>
                <w:lang w:val="en-AU"/>
              </w:rPr>
            </w:pPr>
            <w:r w:rsidRPr="00A57F4B">
              <w:rPr>
                <w:lang w:val="en-AU"/>
              </w:rPr>
              <w:t>2</w:t>
            </w:r>
          </w:p>
        </w:tc>
        <w:tc>
          <w:tcPr>
            <w:tcW w:w="864" w:type="dxa"/>
          </w:tcPr>
          <w:p w14:paraId="66BB57CC" w14:textId="77777777" w:rsidR="00E111F3" w:rsidRPr="00A57F4B" w:rsidRDefault="00E111F3" w:rsidP="00A57F4B">
            <w:pPr>
              <w:pStyle w:val="VCAAtablecondensedheading"/>
              <w:rPr>
                <w:lang w:val="en-AU"/>
              </w:rPr>
            </w:pPr>
            <w:r w:rsidRPr="00A57F4B">
              <w:rPr>
                <w:lang w:val="en-AU"/>
              </w:rPr>
              <w:t>3</w:t>
            </w:r>
          </w:p>
        </w:tc>
        <w:tc>
          <w:tcPr>
            <w:tcW w:w="864" w:type="dxa"/>
          </w:tcPr>
          <w:p w14:paraId="3C242765" w14:textId="77777777" w:rsidR="00E111F3" w:rsidRPr="00A57F4B" w:rsidRDefault="00E111F3" w:rsidP="00A57F4B">
            <w:pPr>
              <w:pStyle w:val="VCAAtablecondensedheading"/>
              <w:rPr>
                <w:lang w:val="en-AU"/>
              </w:rPr>
            </w:pPr>
            <w:r w:rsidRPr="00A57F4B">
              <w:rPr>
                <w:lang w:val="en-AU"/>
              </w:rPr>
              <w:t>4</w:t>
            </w:r>
          </w:p>
        </w:tc>
        <w:tc>
          <w:tcPr>
            <w:tcW w:w="864" w:type="dxa"/>
          </w:tcPr>
          <w:p w14:paraId="520811F3" w14:textId="77777777" w:rsidR="00E111F3" w:rsidRPr="00A57F4B" w:rsidRDefault="00E111F3" w:rsidP="00A57F4B">
            <w:pPr>
              <w:pStyle w:val="VCAAtablecondensedheading"/>
              <w:rPr>
                <w:lang w:val="en-AU"/>
              </w:rPr>
            </w:pPr>
            <w:r w:rsidRPr="00A57F4B">
              <w:rPr>
                <w:lang w:val="en-AU"/>
              </w:rPr>
              <w:t>5</w:t>
            </w:r>
          </w:p>
        </w:tc>
        <w:tc>
          <w:tcPr>
            <w:tcW w:w="864" w:type="dxa"/>
          </w:tcPr>
          <w:p w14:paraId="1AA58354" w14:textId="77777777" w:rsidR="00E111F3" w:rsidRPr="00A57F4B" w:rsidRDefault="00E111F3" w:rsidP="00A57F4B">
            <w:pPr>
              <w:pStyle w:val="VCAAtablecondensedheading"/>
              <w:rPr>
                <w:lang w:val="en-AU"/>
              </w:rPr>
            </w:pPr>
            <w:r w:rsidRPr="00A57F4B">
              <w:rPr>
                <w:lang w:val="en-AU"/>
              </w:rPr>
              <w:t>6</w:t>
            </w:r>
          </w:p>
        </w:tc>
        <w:tc>
          <w:tcPr>
            <w:tcW w:w="864" w:type="dxa"/>
          </w:tcPr>
          <w:p w14:paraId="5AABDE25" w14:textId="77777777" w:rsidR="00E111F3" w:rsidRPr="00A57F4B" w:rsidRDefault="00E111F3" w:rsidP="00A57F4B">
            <w:pPr>
              <w:pStyle w:val="VCAAtablecondensedheading"/>
              <w:rPr>
                <w:lang w:val="en-AU"/>
              </w:rPr>
            </w:pPr>
            <w:r w:rsidRPr="00A57F4B">
              <w:rPr>
                <w:lang w:val="en-AU"/>
              </w:rPr>
              <w:t>Average</w:t>
            </w:r>
          </w:p>
        </w:tc>
      </w:tr>
      <w:tr w:rsidR="00E111F3" w:rsidRPr="00A57F4B" w14:paraId="79ADC001" w14:textId="77777777" w:rsidTr="007838F5">
        <w:trPr>
          <w:trHeight w:hRule="exact" w:val="397"/>
        </w:trPr>
        <w:tc>
          <w:tcPr>
            <w:tcW w:w="864" w:type="dxa"/>
          </w:tcPr>
          <w:p w14:paraId="60F20275" w14:textId="77777777" w:rsidR="00E111F3" w:rsidRPr="00A57F4B" w:rsidRDefault="00E111F3" w:rsidP="00A57F4B">
            <w:pPr>
              <w:pStyle w:val="VCAAtablecondensed"/>
              <w:rPr>
                <w:lang w:val="en-AU"/>
              </w:rPr>
            </w:pPr>
            <w:r w:rsidRPr="00A57F4B">
              <w:rPr>
                <w:lang w:val="en-AU"/>
              </w:rPr>
              <w:t>%</w:t>
            </w:r>
          </w:p>
        </w:tc>
        <w:tc>
          <w:tcPr>
            <w:tcW w:w="864" w:type="dxa"/>
            <w:vAlign w:val="center"/>
          </w:tcPr>
          <w:p w14:paraId="3F5528DB" w14:textId="7891C153" w:rsidR="00E111F3" w:rsidRPr="00A57F4B" w:rsidRDefault="00AC06B8" w:rsidP="00A57F4B">
            <w:pPr>
              <w:pStyle w:val="VCAAtablecondensedheading"/>
              <w:rPr>
                <w:color w:val="000000" w:themeColor="text1"/>
                <w:lang w:val="en-AU"/>
              </w:rPr>
            </w:pPr>
            <w:r w:rsidRPr="00A57F4B">
              <w:rPr>
                <w:color w:val="000000" w:themeColor="text1"/>
                <w:lang w:val="en-AU"/>
              </w:rPr>
              <w:t>4</w:t>
            </w:r>
          </w:p>
        </w:tc>
        <w:tc>
          <w:tcPr>
            <w:tcW w:w="864" w:type="dxa"/>
            <w:vAlign w:val="center"/>
          </w:tcPr>
          <w:p w14:paraId="410D380B" w14:textId="4ED70576" w:rsidR="00E111F3" w:rsidRPr="00A57F4B" w:rsidRDefault="00AC06B8" w:rsidP="00A57F4B">
            <w:pPr>
              <w:pStyle w:val="VCAAtablecondensedheading"/>
              <w:rPr>
                <w:color w:val="000000" w:themeColor="text1"/>
                <w:lang w:val="en-AU"/>
              </w:rPr>
            </w:pPr>
            <w:r w:rsidRPr="00A57F4B">
              <w:rPr>
                <w:color w:val="000000" w:themeColor="text1"/>
                <w:lang w:val="en-AU"/>
              </w:rPr>
              <w:t>7</w:t>
            </w:r>
          </w:p>
        </w:tc>
        <w:tc>
          <w:tcPr>
            <w:tcW w:w="864" w:type="dxa"/>
            <w:vAlign w:val="center"/>
          </w:tcPr>
          <w:p w14:paraId="332BD9B6" w14:textId="4C00949C" w:rsidR="00E111F3" w:rsidRPr="00A57F4B" w:rsidRDefault="00AC06B8" w:rsidP="00A57F4B">
            <w:pPr>
              <w:pStyle w:val="VCAAtablecondensedheading"/>
              <w:rPr>
                <w:color w:val="000000" w:themeColor="text1"/>
                <w:lang w:val="en-AU"/>
              </w:rPr>
            </w:pPr>
            <w:r w:rsidRPr="00A57F4B">
              <w:rPr>
                <w:color w:val="000000" w:themeColor="text1"/>
                <w:lang w:val="en-AU"/>
              </w:rPr>
              <w:t>19</w:t>
            </w:r>
          </w:p>
        </w:tc>
        <w:tc>
          <w:tcPr>
            <w:tcW w:w="864" w:type="dxa"/>
          </w:tcPr>
          <w:p w14:paraId="344BDB2F" w14:textId="3C509622" w:rsidR="00E111F3" w:rsidRPr="00A57F4B" w:rsidRDefault="00AC06B8" w:rsidP="00A57F4B">
            <w:pPr>
              <w:pStyle w:val="VCAAtablecondensedheading"/>
              <w:rPr>
                <w:color w:val="000000" w:themeColor="text1"/>
                <w:lang w:val="en-AU"/>
              </w:rPr>
            </w:pPr>
            <w:r w:rsidRPr="00A57F4B">
              <w:rPr>
                <w:color w:val="000000" w:themeColor="text1"/>
                <w:lang w:val="en-AU"/>
              </w:rPr>
              <w:t>24</w:t>
            </w:r>
          </w:p>
        </w:tc>
        <w:tc>
          <w:tcPr>
            <w:tcW w:w="864" w:type="dxa"/>
          </w:tcPr>
          <w:p w14:paraId="5D24592A" w14:textId="7072CB71" w:rsidR="00E111F3" w:rsidRPr="00A57F4B" w:rsidRDefault="00AC06B8" w:rsidP="00A57F4B">
            <w:pPr>
              <w:pStyle w:val="VCAAtablecondensedheading"/>
              <w:rPr>
                <w:color w:val="000000" w:themeColor="text1"/>
                <w:lang w:val="en-AU"/>
              </w:rPr>
            </w:pPr>
            <w:r w:rsidRPr="00A57F4B">
              <w:rPr>
                <w:color w:val="000000" w:themeColor="text1"/>
                <w:lang w:val="en-AU"/>
              </w:rPr>
              <w:t>17</w:t>
            </w:r>
          </w:p>
        </w:tc>
        <w:tc>
          <w:tcPr>
            <w:tcW w:w="864" w:type="dxa"/>
          </w:tcPr>
          <w:p w14:paraId="567D77D9" w14:textId="7A46E79D" w:rsidR="00E111F3" w:rsidRPr="00A57F4B" w:rsidRDefault="00AC06B8" w:rsidP="00A57F4B">
            <w:pPr>
              <w:pStyle w:val="VCAAtablecondensedheading"/>
              <w:rPr>
                <w:color w:val="000000" w:themeColor="text1"/>
                <w:lang w:val="en-AU"/>
              </w:rPr>
            </w:pPr>
            <w:r w:rsidRPr="00A57F4B">
              <w:rPr>
                <w:color w:val="000000" w:themeColor="text1"/>
                <w:lang w:val="en-AU"/>
              </w:rPr>
              <w:t>16</w:t>
            </w:r>
          </w:p>
        </w:tc>
        <w:tc>
          <w:tcPr>
            <w:tcW w:w="864" w:type="dxa"/>
          </w:tcPr>
          <w:p w14:paraId="266BA6A3" w14:textId="50B40394" w:rsidR="00E111F3" w:rsidRPr="00A57F4B" w:rsidRDefault="00AC06B8" w:rsidP="00A57F4B">
            <w:pPr>
              <w:pStyle w:val="VCAAtablecondensedheading"/>
              <w:rPr>
                <w:color w:val="000000" w:themeColor="text1"/>
                <w:lang w:val="en-AU"/>
              </w:rPr>
            </w:pPr>
            <w:r w:rsidRPr="00A57F4B">
              <w:rPr>
                <w:color w:val="000000" w:themeColor="text1"/>
                <w:lang w:val="en-AU"/>
              </w:rPr>
              <w:t>14</w:t>
            </w:r>
          </w:p>
        </w:tc>
        <w:tc>
          <w:tcPr>
            <w:tcW w:w="864" w:type="dxa"/>
          </w:tcPr>
          <w:p w14:paraId="0AE476C9" w14:textId="591D1854" w:rsidR="00E111F3" w:rsidRPr="00A57F4B" w:rsidRDefault="00AC06B8" w:rsidP="00A57F4B">
            <w:pPr>
              <w:pStyle w:val="VCAAtablecondensedheading"/>
              <w:rPr>
                <w:color w:val="000000" w:themeColor="text1"/>
                <w:lang w:val="en-AU"/>
              </w:rPr>
            </w:pPr>
            <w:r w:rsidRPr="00A57F4B">
              <w:rPr>
                <w:color w:val="000000" w:themeColor="text1"/>
                <w:lang w:val="en-AU"/>
              </w:rPr>
              <w:t>3.5</w:t>
            </w:r>
          </w:p>
        </w:tc>
      </w:tr>
    </w:tbl>
    <w:p w14:paraId="12BEC0AB" w14:textId="37ABE2E2" w:rsidR="009E7379" w:rsidRPr="00A57F4B" w:rsidRDefault="009E7379" w:rsidP="00BB64D5">
      <w:pPr>
        <w:pStyle w:val="VCAAbody"/>
        <w:rPr>
          <w:lang w:val="en-AU"/>
        </w:rPr>
      </w:pPr>
      <w:r w:rsidRPr="00A57F4B">
        <w:rPr>
          <w:lang w:val="en-AU"/>
        </w:rPr>
        <w:t>This question required students to explain one political and one economic change in the rights of women between 1894 and 1998, using Source 11</w:t>
      </w:r>
      <w:r w:rsidR="003063B4" w:rsidRPr="00A57F4B">
        <w:rPr>
          <w:lang w:val="en-AU"/>
        </w:rPr>
        <w:t>,</w:t>
      </w:r>
      <w:r w:rsidRPr="00A57F4B">
        <w:rPr>
          <w:lang w:val="en-AU"/>
        </w:rPr>
        <w:t xml:space="preserve"> which was a letter to the editor of the </w:t>
      </w:r>
      <w:r w:rsidRPr="00A57F4B">
        <w:rPr>
          <w:rStyle w:val="VCAAstudentexampleChar"/>
        </w:rPr>
        <w:t>Northern Argus</w:t>
      </w:r>
      <w:r w:rsidRPr="00A57F4B">
        <w:rPr>
          <w:lang w:val="en-AU"/>
        </w:rPr>
        <w:t xml:space="preserve"> in 1894.</w:t>
      </w:r>
      <w:r w:rsidR="00CC564A" w:rsidRPr="00A57F4B">
        <w:rPr>
          <w:lang w:val="en-AU"/>
        </w:rPr>
        <w:t xml:space="preserve"> </w:t>
      </w:r>
      <w:r w:rsidRPr="00A57F4B">
        <w:rPr>
          <w:lang w:val="en-AU"/>
        </w:rPr>
        <w:t>The source provided a useful starting point for an analysis of change, as it criticised the idea of women’s suffrage and expressed the attitude that the place of women ‘is at home’.</w:t>
      </w:r>
      <w:r w:rsidR="00CC564A" w:rsidRPr="00A57F4B">
        <w:rPr>
          <w:lang w:val="en-AU"/>
        </w:rPr>
        <w:t xml:space="preserve"> </w:t>
      </w:r>
      <w:r w:rsidRPr="00A57F4B">
        <w:rPr>
          <w:lang w:val="en-AU"/>
        </w:rPr>
        <w:t>This is noteworthy, as what distinguished high</w:t>
      </w:r>
      <w:r w:rsidR="00092D6A" w:rsidRPr="00A57F4B">
        <w:rPr>
          <w:lang w:val="en-AU"/>
        </w:rPr>
        <w:t>-</w:t>
      </w:r>
      <w:r w:rsidRPr="00A57F4B">
        <w:rPr>
          <w:lang w:val="en-AU"/>
        </w:rPr>
        <w:t xml:space="preserve">scoring </w:t>
      </w:r>
      <w:r w:rsidR="00092D6A" w:rsidRPr="00A57F4B">
        <w:rPr>
          <w:lang w:val="en-AU"/>
        </w:rPr>
        <w:t xml:space="preserve">responses </w:t>
      </w:r>
      <w:r w:rsidRPr="00A57F4B">
        <w:rPr>
          <w:lang w:val="en-AU"/>
        </w:rPr>
        <w:t>was the ability to identify what had actually changed, as opposed to simply describing what happened or providing information about the past.</w:t>
      </w:r>
      <w:r w:rsidR="00CC564A" w:rsidRPr="00A57F4B">
        <w:rPr>
          <w:lang w:val="en-AU"/>
        </w:rPr>
        <w:t xml:space="preserve"> </w:t>
      </w:r>
      <w:r w:rsidRPr="00A57F4B">
        <w:rPr>
          <w:lang w:val="en-AU"/>
        </w:rPr>
        <w:t>High</w:t>
      </w:r>
      <w:r w:rsidR="0026598B" w:rsidRPr="00A57F4B">
        <w:rPr>
          <w:lang w:val="en-AU"/>
        </w:rPr>
        <w:t>-</w:t>
      </w:r>
      <w:r w:rsidRPr="00A57F4B">
        <w:rPr>
          <w:lang w:val="en-AU"/>
        </w:rPr>
        <w:t>scoring responses were able to identify what context or attitude existed previously and then explain in what way that changed within the assigned</w:t>
      </w:r>
      <w:r w:rsidR="00015B3E" w:rsidRPr="00A57F4B">
        <w:rPr>
          <w:lang w:val="en-AU"/>
        </w:rPr>
        <w:t xml:space="preserve"> time period</w:t>
      </w:r>
      <w:r w:rsidRPr="00A57F4B">
        <w:rPr>
          <w:lang w:val="en-AU"/>
        </w:rPr>
        <w:t>.</w:t>
      </w:r>
      <w:r w:rsidR="00CC564A" w:rsidRPr="00A57F4B">
        <w:rPr>
          <w:lang w:val="en-AU"/>
        </w:rPr>
        <w:t xml:space="preserve"> </w:t>
      </w:r>
      <w:r w:rsidRPr="00A57F4B">
        <w:rPr>
          <w:lang w:val="en-AU"/>
        </w:rPr>
        <w:t xml:space="preserve">There </w:t>
      </w:r>
      <w:r w:rsidR="00B936AC">
        <w:rPr>
          <w:lang w:val="en-AU"/>
        </w:rPr>
        <w:t>was</w:t>
      </w:r>
      <w:r w:rsidR="00B936AC" w:rsidRPr="00A57F4B">
        <w:rPr>
          <w:lang w:val="en-AU"/>
        </w:rPr>
        <w:t xml:space="preserve"> </w:t>
      </w:r>
      <w:r w:rsidRPr="00A57F4B">
        <w:rPr>
          <w:lang w:val="en-AU"/>
        </w:rPr>
        <w:t>a broad range of political changes that students referred to, but most commonly used were the achievement of the franchise for white women in South Australia in 1894 or federally in 1902.</w:t>
      </w:r>
      <w:r w:rsidR="00CC564A" w:rsidRPr="00A57F4B">
        <w:rPr>
          <w:lang w:val="en-AU"/>
        </w:rPr>
        <w:t xml:space="preserve"> </w:t>
      </w:r>
      <w:r w:rsidRPr="00A57F4B">
        <w:rPr>
          <w:lang w:val="en-AU"/>
        </w:rPr>
        <w:t>Similarly</w:t>
      </w:r>
      <w:r w:rsidR="001B6502" w:rsidRPr="00A57F4B">
        <w:rPr>
          <w:lang w:val="en-AU"/>
        </w:rPr>
        <w:t>,</w:t>
      </w:r>
      <w:r w:rsidRPr="00A57F4B">
        <w:rPr>
          <w:lang w:val="en-AU"/>
        </w:rPr>
        <w:t xml:space="preserve"> there was a broad range of changes to economic rights, including reference to the </w:t>
      </w:r>
      <w:r w:rsidRPr="00A57F4B">
        <w:rPr>
          <w:i/>
          <w:iCs/>
          <w:lang w:val="en-AU"/>
        </w:rPr>
        <w:t>Maternity Allowance Act</w:t>
      </w:r>
      <w:r w:rsidRPr="00A57F4B">
        <w:rPr>
          <w:lang w:val="en-AU"/>
        </w:rPr>
        <w:t xml:space="preserve"> </w:t>
      </w:r>
      <w:r w:rsidRPr="00A57F4B">
        <w:rPr>
          <w:i/>
          <w:iCs/>
          <w:lang w:val="en-AU"/>
        </w:rPr>
        <w:t>1912</w:t>
      </w:r>
      <w:r w:rsidRPr="00A57F4B">
        <w:rPr>
          <w:lang w:val="en-AU"/>
        </w:rPr>
        <w:t>.</w:t>
      </w:r>
      <w:r w:rsidR="00CC564A" w:rsidRPr="00A57F4B">
        <w:rPr>
          <w:lang w:val="en-AU"/>
        </w:rPr>
        <w:t xml:space="preserve"> </w:t>
      </w:r>
      <w:r w:rsidRPr="00A57F4B">
        <w:rPr>
          <w:lang w:val="en-AU"/>
        </w:rPr>
        <w:t>As this question did not require an evaluation across time, it was acceptable for both changes identified to have taken place within a limited time frame.</w:t>
      </w:r>
      <w:r w:rsidR="00CC564A" w:rsidRPr="00A57F4B">
        <w:rPr>
          <w:lang w:val="en-AU"/>
        </w:rPr>
        <w:t xml:space="preserve"> </w:t>
      </w:r>
      <w:r w:rsidRPr="00A57F4B">
        <w:rPr>
          <w:lang w:val="en-AU"/>
        </w:rPr>
        <w:t xml:space="preserve">More commonly, however, responses referred to </w:t>
      </w:r>
      <w:r w:rsidR="00892D4A" w:rsidRPr="00A57F4B">
        <w:rPr>
          <w:lang w:val="en-AU"/>
        </w:rPr>
        <w:t>judicial decision and l</w:t>
      </w:r>
      <w:r w:rsidRPr="00A57F4B">
        <w:rPr>
          <w:lang w:val="en-AU"/>
        </w:rPr>
        <w:t>egislation passed</w:t>
      </w:r>
      <w:r w:rsidR="00892D4A" w:rsidRPr="00A57F4B">
        <w:rPr>
          <w:lang w:val="en-AU"/>
        </w:rPr>
        <w:t xml:space="preserve"> in the second half of the </w:t>
      </w:r>
      <w:r w:rsidR="00B936AC">
        <w:rPr>
          <w:lang w:val="en-AU"/>
        </w:rPr>
        <w:t>20th</w:t>
      </w:r>
      <w:r w:rsidR="00B936AC" w:rsidRPr="00A57F4B">
        <w:rPr>
          <w:lang w:val="en-AU"/>
        </w:rPr>
        <w:t xml:space="preserve"> </w:t>
      </w:r>
      <w:r w:rsidR="00892D4A" w:rsidRPr="00A57F4B">
        <w:rPr>
          <w:lang w:val="en-AU"/>
        </w:rPr>
        <w:t xml:space="preserve">century that enshrined equal pay for equal work, provided single </w:t>
      </w:r>
      <w:r w:rsidR="00B936AC" w:rsidRPr="00A57F4B">
        <w:rPr>
          <w:lang w:val="en-AU"/>
        </w:rPr>
        <w:t>mother</w:t>
      </w:r>
      <w:r w:rsidR="00B936AC">
        <w:rPr>
          <w:lang w:val="en-AU"/>
        </w:rPr>
        <w:t>s’</w:t>
      </w:r>
      <w:r w:rsidR="00B936AC" w:rsidRPr="00A57F4B">
        <w:rPr>
          <w:lang w:val="en-AU"/>
        </w:rPr>
        <w:t xml:space="preserve"> </w:t>
      </w:r>
      <w:r w:rsidR="00892D4A" w:rsidRPr="00A57F4B">
        <w:rPr>
          <w:lang w:val="en-AU"/>
        </w:rPr>
        <w:t>benefits or made it illegal to discriminate against or harass based on gender or marital status.</w:t>
      </w:r>
    </w:p>
    <w:p w14:paraId="4D49D84B" w14:textId="2C76E133" w:rsidR="00892D4A" w:rsidRPr="00A57F4B" w:rsidRDefault="00892D4A" w:rsidP="00BB64D5">
      <w:pPr>
        <w:pStyle w:val="VCAAbody"/>
        <w:rPr>
          <w:lang w:val="en-AU"/>
        </w:rPr>
      </w:pPr>
      <w:r w:rsidRPr="00A57F4B">
        <w:rPr>
          <w:lang w:val="en-AU"/>
        </w:rPr>
        <w:t>The following is an example of a high</w:t>
      </w:r>
      <w:r w:rsidR="008C5463" w:rsidRPr="00A57F4B">
        <w:rPr>
          <w:lang w:val="en-AU"/>
        </w:rPr>
        <w:t>-</w:t>
      </w:r>
      <w:r w:rsidRPr="00A57F4B">
        <w:rPr>
          <w:lang w:val="en-AU"/>
        </w:rPr>
        <w:t>scoring response that established the existing attitudes or conditions faced by women and identified in what ways these attitudes or conditions changed, providing reasons for the change by referenc</w:t>
      </w:r>
      <w:r w:rsidR="00B95D5D" w:rsidRPr="00A57F4B">
        <w:rPr>
          <w:lang w:val="en-AU"/>
        </w:rPr>
        <w:t>ing</w:t>
      </w:r>
      <w:r w:rsidRPr="00A57F4B">
        <w:rPr>
          <w:lang w:val="en-AU"/>
        </w:rPr>
        <w:t xml:space="preserve"> the work of the suffrage leagues or protests of the women’s liberation movement:</w:t>
      </w:r>
    </w:p>
    <w:p w14:paraId="40C82EFB" w14:textId="03AC90C3" w:rsidR="00023818" w:rsidRPr="00A57F4B" w:rsidRDefault="00050596" w:rsidP="00262870">
      <w:pPr>
        <w:pStyle w:val="VCAAstudentexample"/>
        <w:ind w:left="284"/>
      </w:pPr>
      <w:r w:rsidRPr="00A57F4B">
        <w:t>The fundamental change to the political status of women was their enfranchisement in 1902. While the dominant discourse in the nineteenth century dictated that women should not ‘meddle with political matters’ (source 11), the suffragists pushed for increased political agency, establishing suffrage leagues through the colonies. As a result of their campaigning, women would be enfranchised nationally with the 1902 Commonwealth Franchise Act.</w:t>
      </w:r>
      <w:r w:rsidR="00CC564A" w:rsidRPr="00A57F4B">
        <w:t xml:space="preserve"> </w:t>
      </w:r>
      <w:r w:rsidRPr="00A57F4B">
        <w:t>Additionally, in the post-war era, women were no longer saddled by the constraints of the ‘home’ with increased entrance into tertiary education, along with the demands and protests of the burgeoning women’s liberation movement, women entered the workforce in increasing numbers.</w:t>
      </w:r>
      <w:r w:rsidR="00CC564A" w:rsidRPr="00A57F4B">
        <w:t xml:space="preserve"> </w:t>
      </w:r>
      <w:r w:rsidRPr="00A57F4B">
        <w:t>Of the 900,000 jobs created between 1983 – 93, 2 out of every 3 went to women, reflecting a newfound economic independence.</w:t>
      </w:r>
    </w:p>
    <w:p w14:paraId="62EABB28" w14:textId="3D44A0CC" w:rsidR="005566E0" w:rsidRPr="00A57F4B" w:rsidRDefault="005566E0" w:rsidP="005566E0">
      <w:pPr>
        <w:pStyle w:val="VCAAHeading3"/>
        <w:rPr>
          <w:lang w:val="en-AU"/>
        </w:rPr>
      </w:pPr>
      <w:r w:rsidRPr="00A57F4B">
        <w:rPr>
          <w:lang w:val="en-AU"/>
        </w:rPr>
        <w:t>Question 3d.</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4F40A3AC"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3DE8FB5" w14:textId="77777777" w:rsidR="00C7345C" w:rsidRPr="00A57F4B" w:rsidRDefault="00C7345C" w:rsidP="00A57F4B">
            <w:pPr>
              <w:pStyle w:val="VCAAtablecondensedheading"/>
              <w:rPr>
                <w:lang w:val="en-AU"/>
              </w:rPr>
            </w:pPr>
            <w:r w:rsidRPr="00A57F4B">
              <w:rPr>
                <w:lang w:val="en-AU"/>
              </w:rPr>
              <w:t>Marks</w:t>
            </w:r>
          </w:p>
        </w:tc>
        <w:tc>
          <w:tcPr>
            <w:tcW w:w="864" w:type="dxa"/>
          </w:tcPr>
          <w:p w14:paraId="1C3BF955" w14:textId="77777777" w:rsidR="00C7345C" w:rsidRPr="00A57F4B" w:rsidRDefault="00C7345C" w:rsidP="00A57F4B">
            <w:pPr>
              <w:pStyle w:val="VCAAtablecondensedheading"/>
              <w:rPr>
                <w:lang w:val="en-AU"/>
              </w:rPr>
            </w:pPr>
            <w:r w:rsidRPr="00A57F4B">
              <w:rPr>
                <w:lang w:val="en-AU"/>
              </w:rPr>
              <w:t>0</w:t>
            </w:r>
          </w:p>
        </w:tc>
        <w:tc>
          <w:tcPr>
            <w:tcW w:w="864" w:type="dxa"/>
          </w:tcPr>
          <w:p w14:paraId="43D8FEE8" w14:textId="77777777" w:rsidR="00C7345C" w:rsidRPr="00A57F4B" w:rsidRDefault="00C7345C" w:rsidP="00A57F4B">
            <w:pPr>
              <w:pStyle w:val="VCAAtablecondensedheading"/>
              <w:rPr>
                <w:lang w:val="en-AU"/>
              </w:rPr>
            </w:pPr>
            <w:r w:rsidRPr="00A57F4B">
              <w:rPr>
                <w:lang w:val="en-AU"/>
              </w:rPr>
              <w:t>1</w:t>
            </w:r>
          </w:p>
        </w:tc>
        <w:tc>
          <w:tcPr>
            <w:tcW w:w="864" w:type="dxa"/>
          </w:tcPr>
          <w:p w14:paraId="76B7D9A1" w14:textId="77777777" w:rsidR="00C7345C" w:rsidRPr="00A57F4B" w:rsidRDefault="00C7345C" w:rsidP="00A57F4B">
            <w:pPr>
              <w:pStyle w:val="VCAAtablecondensedheading"/>
              <w:rPr>
                <w:lang w:val="en-AU"/>
              </w:rPr>
            </w:pPr>
            <w:r w:rsidRPr="00A57F4B">
              <w:rPr>
                <w:lang w:val="en-AU"/>
              </w:rPr>
              <w:t>2</w:t>
            </w:r>
          </w:p>
        </w:tc>
        <w:tc>
          <w:tcPr>
            <w:tcW w:w="864" w:type="dxa"/>
          </w:tcPr>
          <w:p w14:paraId="0624DD0B" w14:textId="77777777" w:rsidR="00C7345C" w:rsidRPr="00A57F4B" w:rsidRDefault="00C7345C" w:rsidP="00A57F4B">
            <w:pPr>
              <w:pStyle w:val="VCAAtablecondensedheading"/>
              <w:rPr>
                <w:lang w:val="en-AU"/>
              </w:rPr>
            </w:pPr>
            <w:r w:rsidRPr="00A57F4B">
              <w:rPr>
                <w:lang w:val="en-AU"/>
              </w:rPr>
              <w:t>Average</w:t>
            </w:r>
          </w:p>
        </w:tc>
      </w:tr>
      <w:tr w:rsidR="00C7345C" w:rsidRPr="00A57F4B" w14:paraId="769A88BC" w14:textId="77777777" w:rsidTr="007838F5">
        <w:trPr>
          <w:trHeight w:hRule="exact" w:val="397"/>
        </w:trPr>
        <w:tc>
          <w:tcPr>
            <w:tcW w:w="864" w:type="dxa"/>
          </w:tcPr>
          <w:p w14:paraId="7DD3CB8E"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41351121" w14:textId="1050F78A" w:rsidR="00C7345C" w:rsidRPr="00A57F4B" w:rsidRDefault="00AC06B8" w:rsidP="00A57F4B">
            <w:pPr>
              <w:pStyle w:val="VCAAtablecondensedheading"/>
              <w:rPr>
                <w:color w:val="000000" w:themeColor="text1"/>
                <w:lang w:val="en-AU"/>
              </w:rPr>
            </w:pPr>
            <w:r w:rsidRPr="00A57F4B">
              <w:rPr>
                <w:color w:val="000000" w:themeColor="text1"/>
                <w:lang w:val="en-AU"/>
              </w:rPr>
              <w:t>7</w:t>
            </w:r>
          </w:p>
        </w:tc>
        <w:tc>
          <w:tcPr>
            <w:tcW w:w="864" w:type="dxa"/>
            <w:vAlign w:val="center"/>
          </w:tcPr>
          <w:p w14:paraId="2BDEF349" w14:textId="725129B8" w:rsidR="00C7345C" w:rsidRPr="00A57F4B" w:rsidRDefault="00AC06B8" w:rsidP="00A57F4B">
            <w:pPr>
              <w:pStyle w:val="VCAAtablecondensedheading"/>
              <w:rPr>
                <w:color w:val="000000" w:themeColor="text1"/>
                <w:lang w:val="en-AU"/>
              </w:rPr>
            </w:pPr>
            <w:r w:rsidRPr="00A57F4B">
              <w:rPr>
                <w:color w:val="000000" w:themeColor="text1"/>
                <w:lang w:val="en-AU"/>
              </w:rPr>
              <w:t>18</w:t>
            </w:r>
          </w:p>
        </w:tc>
        <w:tc>
          <w:tcPr>
            <w:tcW w:w="864" w:type="dxa"/>
            <w:vAlign w:val="center"/>
          </w:tcPr>
          <w:p w14:paraId="2327F842" w14:textId="4A00EE18" w:rsidR="00C7345C" w:rsidRPr="00A57F4B" w:rsidRDefault="00AC06B8" w:rsidP="00A57F4B">
            <w:pPr>
              <w:pStyle w:val="VCAAtablecondensedheading"/>
              <w:rPr>
                <w:color w:val="000000" w:themeColor="text1"/>
                <w:lang w:val="en-AU"/>
              </w:rPr>
            </w:pPr>
            <w:r w:rsidRPr="00A57F4B">
              <w:rPr>
                <w:color w:val="000000" w:themeColor="text1"/>
                <w:lang w:val="en-AU"/>
              </w:rPr>
              <w:t>75</w:t>
            </w:r>
          </w:p>
        </w:tc>
        <w:tc>
          <w:tcPr>
            <w:tcW w:w="864" w:type="dxa"/>
          </w:tcPr>
          <w:p w14:paraId="4F6BD36B" w14:textId="3FD06E31" w:rsidR="00C7345C" w:rsidRPr="00A57F4B" w:rsidRDefault="00AC06B8" w:rsidP="00A57F4B">
            <w:pPr>
              <w:pStyle w:val="VCAAtablecondensedheading"/>
              <w:rPr>
                <w:color w:val="000000" w:themeColor="text1"/>
                <w:lang w:val="en-AU"/>
              </w:rPr>
            </w:pPr>
            <w:r w:rsidRPr="00A57F4B">
              <w:rPr>
                <w:color w:val="000000" w:themeColor="text1"/>
                <w:lang w:val="en-AU"/>
              </w:rPr>
              <w:t>1.7</w:t>
            </w:r>
          </w:p>
        </w:tc>
      </w:tr>
    </w:tbl>
    <w:p w14:paraId="7A567C47" w14:textId="7737CF19" w:rsidR="005566E0" w:rsidRPr="00A57F4B" w:rsidRDefault="006D709C" w:rsidP="00BB64D5">
      <w:pPr>
        <w:pStyle w:val="VCAAbody"/>
        <w:rPr>
          <w:lang w:val="en-AU"/>
        </w:rPr>
      </w:pPr>
      <w:r w:rsidRPr="00A57F4B">
        <w:rPr>
          <w:lang w:val="en-AU"/>
        </w:rPr>
        <w:t>Students were asked to outline one perspective held by the protesters after the dismissal of the Whitlam Government in 1975.</w:t>
      </w:r>
      <w:r w:rsidR="00CC564A" w:rsidRPr="00A57F4B">
        <w:rPr>
          <w:lang w:val="en-AU"/>
        </w:rPr>
        <w:t xml:space="preserve"> </w:t>
      </w:r>
      <w:r w:rsidRPr="00A57F4B">
        <w:rPr>
          <w:lang w:val="en-AU"/>
        </w:rPr>
        <w:t xml:space="preserve">There were two posters among the crowd </w:t>
      </w:r>
      <w:r w:rsidR="00A123E7" w:rsidRPr="00A57F4B">
        <w:rPr>
          <w:lang w:val="en-AU"/>
        </w:rPr>
        <w:t xml:space="preserve">that </w:t>
      </w:r>
      <w:r w:rsidRPr="00A57F4B">
        <w:rPr>
          <w:lang w:val="en-AU"/>
        </w:rPr>
        <w:t xml:space="preserve">provided a basis for students’ </w:t>
      </w:r>
      <w:r w:rsidRPr="00A57F4B">
        <w:rPr>
          <w:lang w:val="en-AU"/>
        </w:rPr>
        <w:lastRenderedPageBreak/>
        <w:t>responses.</w:t>
      </w:r>
      <w:r w:rsidR="00CC564A" w:rsidRPr="00A57F4B">
        <w:rPr>
          <w:lang w:val="en-AU"/>
        </w:rPr>
        <w:t xml:space="preserve"> </w:t>
      </w:r>
      <w:r w:rsidRPr="00A57F4B">
        <w:rPr>
          <w:lang w:val="en-AU"/>
        </w:rPr>
        <w:t>Most students outlined the protesters’ concern that a democratically elected Prime Minister had been dismissed by the Governor General and the challenge this posed for Australia’s democracy, while others described the anger at Malcolm Fraser for his role in participating in the removal of Gough Whitlam.</w:t>
      </w:r>
    </w:p>
    <w:p w14:paraId="6A1FF3DD" w14:textId="0858AF07" w:rsidR="005566E0" w:rsidRPr="00A57F4B" w:rsidRDefault="005566E0" w:rsidP="005566E0">
      <w:pPr>
        <w:pStyle w:val="VCAAHeading3"/>
        <w:rPr>
          <w:lang w:val="en-AU"/>
        </w:rPr>
      </w:pPr>
      <w:r w:rsidRPr="00A57F4B">
        <w:rPr>
          <w:lang w:val="en-AU"/>
        </w:rPr>
        <w:t>Question 3e.</w:t>
      </w:r>
    </w:p>
    <w:tbl>
      <w:tblPr>
        <w:tblStyle w:val="VCAATableClosed"/>
        <w:tblW w:w="9360" w:type="dxa"/>
        <w:tblLook w:val="01E0" w:firstRow="1" w:lastRow="1" w:firstColumn="1" w:lastColumn="1" w:noHBand="0" w:noVBand="0"/>
      </w:tblPr>
      <w:tblGrid>
        <w:gridCol w:w="720"/>
        <w:gridCol w:w="709"/>
        <w:gridCol w:w="706"/>
        <w:gridCol w:w="706"/>
        <w:gridCol w:w="705"/>
        <w:gridCol w:w="705"/>
        <w:gridCol w:w="708"/>
        <w:gridCol w:w="708"/>
        <w:gridCol w:w="708"/>
        <w:gridCol w:w="708"/>
        <w:gridCol w:w="705"/>
        <w:gridCol w:w="708"/>
        <w:gridCol w:w="864"/>
      </w:tblGrid>
      <w:tr w:rsidR="00C20A13" w:rsidRPr="00A57F4B" w14:paraId="406EF63F"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78586ECF" w14:textId="77777777" w:rsidR="00C20A13" w:rsidRPr="00A57F4B" w:rsidRDefault="00C20A13" w:rsidP="00A57F4B">
            <w:pPr>
              <w:pStyle w:val="VCAAtablecondensedheading"/>
              <w:rPr>
                <w:lang w:val="en-AU"/>
              </w:rPr>
            </w:pPr>
            <w:r w:rsidRPr="00A57F4B">
              <w:rPr>
                <w:lang w:val="en-AU"/>
              </w:rPr>
              <w:t>Marks</w:t>
            </w:r>
          </w:p>
        </w:tc>
        <w:tc>
          <w:tcPr>
            <w:tcW w:w="720" w:type="dxa"/>
          </w:tcPr>
          <w:p w14:paraId="739FEA8A" w14:textId="77777777" w:rsidR="00C20A13" w:rsidRPr="00A57F4B" w:rsidRDefault="00C20A13" w:rsidP="00A57F4B">
            <w:pPr>
              <w:pStyle w:val="VCAAtablecondensedheading"/>
              <w:rPr>
                <w:lang w:val="en-AU"/>
              </w:rPr>
            </w:pPr>
            <w:r w:rsidRPr="00A57F4B">
              <w:rPr>
                <w:lang w:val="en-AU"/>
              </w:rPr>
              <w:t>0</w:t>
            </w:r>
          </w:p>
        </w:tc>
        <w:tc>
          <w:tcPr>
            <w:tcW w:w="720" w:type="dxa"/>
          </w:tcPr>
          <w:p w14:paraId="58F5AD56" w14:textId="77777777" w:rsidR="00C20A13" w:rsidRPr="00A57F4B" w:rsidRDefault="00C20A13" w:rsidP="00A57F4B">
            <w:pPr>
              <w:pStyle w:val="VCAAtablecondensedheading"/>
              <w:rPr>
                <w:lang w:val="en-AU"/>
              </w:rPr>
            </w:pPr>
            <w:r w:rsidRPr="00A57F4B">
              <w:rPr>
                <w:lang w:val="en-AU"/>
              </w:rPr>
              <w:t>1</w:t>
            </w:r>
          </w:p>
        </w:tc>
        <w:tc>
          <w:tcPr>
            <w:tcW w:w="720" w:type="dxa"/>
          </w:tcPr>
          <w:p w14:paraId="6407AA29" w14:textId="77777777" w:rsidR="00C20A13" w:rsidRPr="00A57F4B" w:rsidRDefault="00C20A13" w:rsidP="00A57F4B">
            <w:pPr>
              <w:pStyle w:val="VCAAtablecondensedheading"/>
              <w:rPr>
                <w:lang w:val="en-AU"/>
              </w:rPr>
            </w:pPr>
            <w:r w:rsidRPr="00A57F4B">
              <w:rPr>
                <w:lang w:val="en-AU"/>
              </w:rPr>
              <w:t>2</w:t>
            </w:r>
          </w:p>
        </w:tc>
        <w:tc>
          <w:tcPr>
            <w:tcW w:w="720" w:type="dxa"/>
          </w:tcPr>
          <w:p w14:paraId="1517D2A5" w14:textId="77777777" w:rsidR="00C20A13" w:rsidRPr="00A57F4B" w:rsidRDefault="00C20A13" w:rsidP="00A57F4B">
            <w:pPr>
              <w:pStyle w:val="VCAAtablecondensedheading"/>
              <w:rPr>
                <w:lang w:val="en-AU"/>
              </w:rPr>
            </w:pPr>
            <w:r w:rsidRPr="00A57F4B">
              <w:rPr>
                <w:lang w:val="en-AU"/>
              </w:rPr>
              <w:t>3</w:t>
            </w:r>
          </w:p>
        </w:tc>
        <w:tc>
          <w:tcPr>
            <w:tcW w:w="720" w:type="dxa"/>
          </w:tcPr>
          <w:p w14:paraId="4DF8BF0F" w14:textId="77777777" w:rsidR="00C20A13" w:rsidRPr="00A57F4B" w:rsidRDefault="00C20A13" w:rsidP="00A57F4B">
            <w:pPr>
              <w:pStyle w:val="VCAAtablecondensedheading"/>
              <w:rPr>
                <w:lang w:val="en-AU"/>
              </w:rPr>
            </w:pPr>
            <w:r w:rsidRPr="00A57F4B">
              <w:rPr>
                <w:lang w:val="en-AU"/>
              </w:rPr>
              <w:t>4</w:t>
            </w:r>
          </w:p>
        </w:tc>
        <w:tc>
          <w:tcPr>
            <w:tcW w:w="720" w:type="dxa"/>
          </w:tcPr>
          <w:p w14:paraId="5AC6885A" w14:textId="77777777" w:rsidR="00C20A13" w:rsidRPr="00A57F4B" w:rsidRDefault="00C20A13" w:rsidP="00A57F4B">
            <w:pPr>
              <w:pStyle w:val="VCAAtablecondensedheading"/>
              <w:rPr>
                <w:lang w:val="en-AU"/>
              </w:rPr>
            </w:pPr>
            <w:r w:rsidRPr="00A57F4B">
              <w:rPr>
                <w:lang w:val="en-AU"/>
              </w:rPr>
              <w:t>5</w:t>
            </w:r>
          </w:p>
        </w:tc>
        <w:tc>
          <w:tcPr>
            <w:tcW w:w="720" w:type="dxa"/>
          </w:tcPr>
          <w:p w14:paraId="0D69BFBD" w14:textId="77777777" w:rsidR="00C20A13" w:rsidRPr="00A57F4B" w:rsidRDefault="00C20A13" w:rsidP="00A57F4B">
            <w:pPr>
              <w:pStyle w:val="VCAAtablecondensedheading"/>
              <w:rPr>
                <w:lang w:val="en-AU"/>
              </w:rPr>
            </w:pPr>
            <w:r w:rsidRPr="00A57F4B">
              <w:rPr>
                <w:lang w:val="en-AU"/>
              </w:rPr>
              <w:t>6</w:t>
            </w:r>
          </w:p>
        </w:tc>
        <w:tc>
          <w:tcPr>
            <w:tcW w:w="720" w:type="dxa"/>
          </w:tcPr>
          <w:p w14:paraId="2CED5D60" w14:textId="77777777" w:rsidR="00C20A13" w:rsidRPr="00A57F4B" w:rsidRDefault="00C20A13" w:rsidP="00A57F4B">
            <w:pPr>
              <w:pStyle w:val="VCAAtablecondensedheading"/>
              <w:rPr>
                <w:lang w:val="en-AU"/>
              </w:rPr>
            </w:pPr>
            <w:r w:rsidRPr="00A57F4B">
              <w:rPr>
                <w:lang w:val="en-AU"/>
              </w:rPr>
              <w:t>7</w:t>
            </w:r>
          </w:p>
        </w:tc>
        <w:tc>
          <w:tcPr>
            <w:tcW w:w="720" w:type="dxa"/>
          </w:tcPr>
          <w:p w14:paraId="2923E9B1" w14:textId="77777777" w:rsidR="00C20A13" w:rsidRPr="00A57F4B" w:rsidRDefault="00C20A13" w:rsidP="00A57F4B">
            <w:pPr>
              <w:pStyle w:val="VCAAtablecondensedheading"/>
              <w:rPr>
                <w:lang w:val="en-AU"/>
              </w:rPr>
            </w:pPr>
            <w:r w:rsidRPr="00A57F4B">
              <w:rPr>
                <w:lang w:val="en-AU"/>
              </w:rPr>
              <w:t>8</w:t>
            </w:r>
          </w:p>
        </w:tc>
        <w:tc>
          <w:tcPr>
            <w:tcW w:w="720" w:type="dxa"/>
          </w:tcPr>
          <w:p w14:paraId="61C8FF85" w14:textId="77777777" w:rsidR="00C20A13" w:rsidRPr="00A57F4B" w:rsidRDefault="00C20A13" w:rsidP="00A57F4B">
            <w:pPr>
              <w:pStyle w:val="VCAAtablecondensedheading"/>
              <w:rPr>
                <w:lang w:val="en-AU"/>
              </w:rPr>
            </w:pPr>
            <w:r w:rsidRPr="00A57F4B">
              <w:rPr>
                <w:lang w:val="en-AU"/>
              </w:rPr>
              <w:t>9</w:t>
            </w:r>
          </w:p>
        </w:tc>
        <w:tc>
          <w:tcPr>
            <w:tcW w:w="720" w:type="dxa"/>
          </w:tcPr>
          <w:p w14:paraId="76FF7172" w14:textId="77777777" w:rsidR="00C20A13" w:rsidRPr="00A57F4B" w:rsidRDefault="00C20A13" w:rsidP="00A57F4B">
            <w:pPr>
              <w:pStyle w:val="VCAAtablecondensedheading"/>
              <w:rPr>
                <w:lang w:val="en-AU"/>
              </w:rPr>
            </w:pPr>
            <w:r w:rsidRPr="00A57F4B">
              <w:rPr>
                <w:lang w:val="en-AU"/>
              </w:rPr>
              <w:t>10</w:t>
            </w:r>
          </w:p>
        </w:tc>
        <w:tc>
          <w:tcPr>
            <w:tcW w:w="720" w:type="dxa"/>
          </w:tcPr>
          <w:p w14:paraId="40B02457" w14:textId="77777777" w:rsidR="00C20A13" w:rsidRPr="00A57F4B" w:rsidRDefault="00C20A13" w:rsidP="00A57F4B">
            <w:pPr>
              <w:pStyle w:val="VCAAtablecondensedheading"/>
              <w:rPr>
                <w:lang w:val="en-AU"/>
              </w:rPr>
            </w:pPr>
            <w:r w:rsidRPr="00A57F4B">
              <w:rPr>
                <w:lang w:val="en-AU"/>
              </w:rPr>
              <w:t>Average</w:t>
            </w:r>
          </w:p>
        </w:tc>
      </w:tr>
      <w:tr w:rsidR="00C20A13" w:rsidRPr="00A57F4B" w14:paraId="5C1C6431" w14:textId="77777777" w:rsidTr="007838F5">
        <w:trPr>
          <w:trHeight w:hRule="exact" w:val="397"/>
        </w:trPr>
        <w:tc>
          <w:tcPr>
            <w:tcW w:w="720" w:type="dxa"/>
          </w:tcPr>
          <w:p w14:paraId="7BE9A427" w14:textId="77777777" w:rsidR="00C20A13" w:rsidRPr="00A57F4B" w:rsidRDefault="00C20A13" w:rsidP="00A57F4B">
            <w:pPr>
              <w:pStyle w:val="VCAAtablecondensed"/>
              <w:rPr>
                <w:lang w:val="en-AU"/>
              </w:rPr>
            </w:pPr>
            <w:r w:rsidRPr="00A57F4B">
              <w:rPr>
                <w:lang w:val="en-AU"/>
              </w:rPr>
              <w:t>%</w:t>
            </w:r>
          </w:p>
        </w:tc>
        <w:tc>
          <w:tcPr>
            <w:tcW w:w="720" w:type="dxa"/>
            <w:vAlign w:val="center"/>
          </w:tcPr>
          <w:p w14:paraId="4D4B6121" w14:textId="3C996013" w:rsidR="00C20A13" w:rsidRPr="00A57F4B" w:rsidRDefault="00AC06B8" w:rsidP="00A57F4B">
            <w:pPr>
              <w:pStyle w:val="VCAAtablecondensedheading"/>
              <w:rPr>
                <w:color w:val="000000" w:themeColor="text1"/>
                <w:lang w:val="en-AU"/>
              </w:rPr>
            </w:pPr>
            <w:r w:rsidRPr="00A57F4B">
              <w:rPr>
                <w:color w:val="000000" w:themeColor="text1"/>
                <w:lang w:val="en-AU"/>
              </w:rPr>
              <w:t>11</w:t>
            </w:r>
          </w:p>
        </w:tc>
        <w:tc>
          <w:tcPr>
            <w:tcW w:w="720" w:type="dxa"/>
            <w:vAlign w:val="center"/>
          </w:tcPr>
          <w:p w14:paraId="5FDA1DA8" w14:textId="172D653E" w:rsidR="00C20A13" w:rsidRPr="00A57F4B" w:rsidRDefault="00AC06B8" w:rsidP="00A57F4B">
            <w:pPr>
              <w:pStyle w:val="VCAAtablecondensedheading"/>
              <w:rPr>
                <w:color w:val="000000" w:themeColor="text1"/>
                <w:lang w:val="en-AU"/>
              </w:rPr>
            </w:pPr>
            <w:r w:rsidRPr="00A57F4B">
              <w:rPr>
                <w:color w:val="000000" w:themeColor="text1"/>
                <w:lang w:val="en-AU"/>
              </w:rPr>
              <w:t>6</w:t>
            </w:r>
          </w:p>
        </w:tc>
        <w:tc>
          <w:tcPr>
            <w:tcW w:w="720" w:type="dxa"/>
            <w:vAlign w:val="center"/>
          </w:tcPr>
          <w:p w14:paraId="4DB09ABC" w14:textId="334DF66D" w:rsidR="00C20A13" w:rsidRPr="00A57F4B" w:rsidRDefault="00AC06B8" w:rsidP="00A57F4B">
            <w:pPr>
              <w:pStyle w:val="VCAAtablecondensedheading"/>
              <w:rPr>
                <w:color w:val="000000" w:themeColor="text1"/>
                <w:lang w:val="en-AU"/>
              </w:rPr>
            </w:pPr>
            <w:r w:rsidRPr="00A57F4B">
              <w:rPr>
                <w:color w:val="000000" w:themeColor="text1"/>
                <w:lang w:val="en-AU"/>
              </w:rPr>
              <w:t>7</w:t>
            </w:r>
          </w:p>
        </w:tc>
        <w:tc>
          <w:tcPr>
            <w:tcW w:w="720" w:type="dxa"/>
          </w:tcPr>
          <w:p w14:paraId="0B2CFCEF" w14:textId="2899AA05" w:rsidR="00C20A13" w:rsidRPr="00A57F4B" w:rsidRDefault="00AC06B8" w:rsidP="00A57F4B">
            <w:pPr>
              <w:pStyle w:val="VCAAtablecondensedheading"/>
              <w:rPr>
                <w:color w:val="000000" w:themeColor="text1"/>
                <w:lang w:val="en-AU"/>
              </w:rPr>
            </w:pPr>
            <w:r w:rsidRPr="00A57F4B">
              <w:rPr>
                <w:color w:val="000000" w:themeColor="text1"/>
                <w:lang w:val="en-AU"/>
              </w:rPr>
              <w:t>7</w:t>
            </w:r>
          </w:p>
        </w:tc>
        <w:tc>
          <w:tcPr>
            <w:tcW w:w="720" w:type="dxa"/>
          </w:tcPr>
          <w:p w14:paraId="57F0201C" w14:textId="00EB9AFE" w:rsidR="00C20A13" w:rsidRPr="00A57F4B" w:rsidRDefault="00AC06B8" w:rsidP="00A57F4B">
            <w:pPr>
              <w:pStyle w:val="VCAAtablecondensedheading"/>
              <w:rPr>
                <w:color w:val="000000" w:themeColor="text1"/>
                <w:lang w:val="en-AU"/>
              </w:rPr>
            </w:pPr>
            <w:r w:rsidRPr="00A57F4B">
              <w:rPr>
                <w:color w:val="000000" w:themeColor="text1"/>
                <w:lang w:val="en-AU"/>
              </w:rPr>
              <w:t>9</w:t>
            </w:r>
          </w:p>
        </w:tc>
        <w:tc>
          <w:tcPr>
            <w:tcW w:w="720" w:type="dxa"/>
          </w:tcPr>
          <w:p w14:paraId="320CB05C" w14:textId="797A06D1" w:rsidR="00C20A13" w:rsidRPr="00A57F4B" w:rsidRDefault="00AC06B8" w:rsidP="00A57F4B">
            <w:pPr>
              <w:pStyle w:val="VCAAtablecondensedheading"/>
              <w:rPr>
                <w:color w:val="000000" w:themeColor="text1"/>
                <w:lang w:val="en-AU"/>
              </w:rPr>
            </w:pPr>
            <w:r w:rsidRPr="00A57F4B">
              <w:rPr>
                <w:color w:val="000000" w:themeColor="text1"/>
                <w:lang w:val="en-AU"/>
              </w:rPr>
              <w:t>12</w:t>
            </w:r>
          </w:p>
        </w:tc>
        <w:tc>
          <w:tcPr>
            <w:tcW w:w="720" w:type="dxa"/>
          </w:tcPr>
          <w:p w14:paraId="2BD67943" w14:textId="628286BD" w:rsidR="00C20A13" w:rsidRPr="00A57F4B" w:rsidRDefault="00AC06B8" w:rsidP="00A57F4B">
            <w:pPr>
              <w:pStyle w:val="VCAAtablecondensedheading"/>
              <w:rPr>
                <w:color w:val="000000" w:themeColor="text1"/>
                <w:lang w:val="en-AU"/>
              </w:rPr>
            </w:pPr>
            <w:r w:rsidRPr="00A57F4B">
              <w:rPr>
                <w:color w:val="000000" w:themeColor="text1"/>
                <w:lang w:val="en-AU"/>
              </w:rPr>
              <w:t>15</w:t>
            </w:r>
          </w:p>
        </w:tc>
        <w:tc>
          <w:tcPr>
            <w:tcW w:w="720" w:type="dxa"/>
          </w:tcPr>
          <w:p w14:paraId="5DF6CFE3" w14:textId="5F97FD38" w:rsidR="00C20A13" w:rsidRPr="00A57F4B" w:rsidRDefault="00AC06B8" w:rsidP="00A57F4B">
            <w:pPr>
              <w:pStyle w:val="VCAAtablecondensedheading"/>
              <w:rPr>
                <w:color w:val="000000" w:themeColor="text1"/>
                <w:lang w:val="en-AU"/>
              </w:rPr>
            </w:pPr>
            <w:r w:rsidRPr="00A57F4B">
              <w:rPr>
                <w:color w:val="000000" w:themeColor="text1"/>
                <w:lang w:val="en-AU"/>
              </w:rPr>
              <w:t>13</w:t>
            </w:r>
          </w:p>
        </w:tc>
        <w:tc>
          <w:tcPr>
            <w:tcW w:w="720" w:type="dxa"/>
          </w:tcPr>
          <w:p w14:paraId="60921B6B" w14:textId="2428D931" w:rsidR="00C20A13" w:rsidRPr="00A57F4B" w:rsidRDefault="00AC06B8" w:rsidP="00A57F4B">
            <w:pPr>
              <w:pStyle w:val="VCAAtablecondensedheading"/>
              <w:rPr>
                <w:color w:val="000000" w:themeColor="text1"/>
                <w:lang w:val="en-AU"/>
              </w:rPr>
            </w:pPr>
            <w:r w:rsidRPr="00A57F4B">
              <w:rPr>
                <w:color w:val="000000" w:themeColor="text1"/>
                <w:lang w:val="en-AU"/>
              </w:rPr>
              <w:t>13</w:t>
            </w:r>
          </w:p>
        </w:tc>
        <w:tc>
          <w:tcPr>
            <w:tcW w:w="720" w:type="dxa"/>
          </w:tcPr>
          <w:p w14:paraId="6032BD8C" w14:textId="4550AD1F" w:rsidR="00C20A13" w:rsidRPr="00A57F4B" w:rsidRDefault="00AC06B8" w:rsidP="00A57F4B">
            <w:pPr>
              <w:pStyle w:val="VCAAtablecondensedheading"/>
              <w:rPr>
                <w:color w:val="000000" w:themeColor="text1"/>
                <w:lang w:val="en-AU"/>
              </w:rPr>
            </w:pPr>
            <w:r w:rsidRPr="00A57F4B">
              <w:rPr>
                <w:color w:val="000000" w:themeColor="text1"/>
                <w:lang w:val="en-AU"/>
              </w:rPr>
              <w:t>5</w:t>
            </w:r>
          </w:p>
        </w:tc>
        <w:tc>
          <w:tcPr>
            <w:tcW w:w="720" w:type="dxa"/>
          </w:tcPr>
          <w:p w14:paraId="159E905C" w14:textId="7C4F58FC" w:rsidR="00C20A13" w:rsidRPr="00A57F4B" w:rsidRDefault="00AC06B8" w:rsidP="00A57F4B">
            <w:pPr>
              <w:pStyle w:val="VCAAtablecondensedheading"/>
              <w:rPr>
                <w:color w:val="000000" w:themeColor="text1"/>
                <w:lang w:val="en-AU"/>
              </w:rPr>
            </w:pPr>
            <w:r w:rsidRPr="00A57F4B">
              <w:rPr>
                <w:color w:val="000000" w:themeColor="text1"/>
                <w:lang w:val="en-AU"/>
              </w:rPr>
              <w:t>1</w:t>
            </w:r>
          </w:p>
        </w:tc>
        <w:tc>
          <w:tcPr>
            <w:tcW w:w="720" w:type="dxa"/>
          </w:tcPr>
          <w:p w14:paraId="7F14CD7E" w14:textId="1E1D68CD" w:rsidR="00C20A13" w:rsidRPr="00A57F4B" w:rsidRDefault="00AC06B8" w:rsidP="00A57F4B">
            <w:pPr>
              <w:pStyle w:val="VCAAtablecondensedheading"/>
              <w:rPr>
                <w:color w:val="000000" w:themeColor="text1"/>
                <w:lang w:val="en-AU"/>
              </w:rPr>
            </w:pPr>
            <w:r w:rsidRPr="00A57F4B">
              <w:rPr>
                <w:color w:val="000000" w:themeColor="text1"/>
                <w:lang w:val="en-AU"/>
              </w:rPr>
              <w:t>4.8</w:t>
            </w:r>
          </w:p>
        </w:tc>
      </w:tr>
    </w:tbl>
    <w:p w14:paraId="33F1C981" w14:textId="0B451539" w:rsidR="004F3F5F" w:rsidRPr="00A57F4B" w:rsidRDefault="007472AD" w:rsidP="00BB64D5">
      <w:pPr>
        <w:pStyle w:val="VCAAbody"/>
        <w:rPr>
          <w:lang w:val="en-AU"/>
        </w:rPr>
      </w:pPr>
      <w:r w:rsidRPr="00A57F4B">
        <w:rPr>
          <w:lang w:val="en-AU"/>
        </w:rPr>
        <w:t>This question</w:t>
      </w:r>
      <w:r w:rsidR="006D709C" w:rsidRPr="00A57F4B">
        <w:rPr>
          <w:lang w:val="en-AU"/>
        </w:rPr>
        <w:t xml:space="preserve"> required students to evaluate the extent to which protest was successful in challenging the exercise of power and governance in the period from 1850 to 1998.</w:t>
      </w:r>
      <w:r w:rsidR="00CC564A" w:rsidRPr="00A57F4B">
        <w:rPr>
          <w:lang w:val="en-AU"/>
        </w:rPr>
        <w:t xml:space="preserve"> </w:t>
      </w:r>
      <w:r w:rsidR="006D709C" w:rsidRPr="00A57F4B">
        <w:rPr>
          <w:lang w:val="en-AU"/>
        </w:rPr>
        <w:t>T</w:t>
      </w:r>
      <w:r w:rsidR="004F3F5F" w:rsidRPr="00A57F4B">
        <w:rPr>
          <w:lang w:val="en-AU"/>
        </w:rPr>
        <w:t>his was a very broad question.</w:t>
      </w:r>
      <w:r w:rsidR="00CC564A" w:rsidRPr="00A57F4B">
        <w:rPr>
          <w:lang w:val="en-AU"/>
        </w:rPr>
        <w:t xml:space="preserve"> </w:t>
      </w:r>
      <w:r w:rsidR="004F3F5F" w:rsidRPr="00A57F4B">
        <w:rPr>
          <w:lang w:val="en-AU"/>
        </w:rPr>
        <w:t xml:space="preserve">The </w:t>
      </w:r>
      <w:r w:rsidR="00BF4FCF" w:rsidRPr="00A57F4B">
        <w:rPr>
          <w:lang w:val="en-AU"/>
        </w:rPr>
        <w:t xml:space="preserve">highest-scoring </w:t>
      </w:r>
      <w:r w:rsidR="004F3F5F" w:rsidRPr="00A57F4B">
        <w:rPr>
          <w:lang w:val="en-AU"/>
        </w:rPr>
        <w:t>responses provided an organi</w:t>
      </w:r>
      <w:r w:rsidR="00BD7F00" w:rsidRPr="00A57F4B">
        <w:rPr>
          <w:lang w:val="en-AU"/>
        </w:rPr>
        <w:t>s</w:t>
      </w:r>
      <w:r w:rsidR="004F3F5F" w:rsidRPr="00A57F4B">
        <w:rPr>
          <w:lang w:val="en-AU"/>
        </w:rPr>
        <w:t xml:space="preserve">ed </w:t>
      </w:r>
      <w:r w:rsidR="00BD7F00" w:rsidRPr="00A57F4B">
        <w:rPr>
          <w:lang w:val="en-AU"/>
        </w:rPr>
        <w:t>response,</w:t>
      </w:r>
      <w:r w:rsidR="004F3F5F" w:rsidRPr="00A57F4B">
        <w:rPr>
          <w:lang w:val="en-AU"/>
        </w:rPr>
        <w:t xml:space="preserve"> often focusing on different groups such as the workers’ movement, campaigns for women’s rights</w:t>
      </w:r>
      <w:r w:rsidR="006D709C" w:rsidRPr="00A57F4B">
        <w:rPr>
          <w:lang w:val="en-AU"/>
        </w:rPr>
        <w:t xml:space="preserve">, </w:t>
      </w:r>
      <w:r w:rsidR="004F3F5F" w:rsidRPr="00A57F4B">
        <w:rPr>
          <w:lang w:val="en-AU"/>
        </w:rPr>
        <w:t>Aboriginal campaigns for civil or land rights</w:t>
      </w:r>
      <w:r w:rsidR="00BD7F00" w:rsidRPr="00A57F4B">
        <w:rPr>
          <w:lang w:val="en-AU"/>
        </w:rPr>
        <w:t>,</w:t>
      </w:r>
      <w:r w:rsidR="006D709C" w:rsidRPr="00A57F4B">
        <w:rPr>
          <w:lang w:val="en-AU"/>
        </w:rPr>
        <w:t xml:space="preserve"> or campaigns for equality for LGBTQIA+</w:t>
      </w:r>
      <w:r w:rsidR="00A3188E" w:rsidRPr="00A57F4B">
        <w:rPr>
          <w:lang w:val="en-AU"/>
        </w:rPr>
        <w:t xml:space="preserve"> people</w:t>
      </w:r>
      <w:r w:rsidR="004F3F5F" w:rsidRPr="00A57F4B">
        <w:rPr>
          <w:lang w:val="en-AU"/>
        </w:rPr>
        <w:t>.</w:t>
      </w:r>
      <w:r w:rsidR="00CC564A" w:rsidRPr="00A57F4B">
        <w:rPr>
          <w:lang w:val="en-AU"/>
        </w:rPr>
        <w:t xml:space="preserve"> </w:t>
      </w:r>
      <w:r w:rsidR="00A3188E" w:rsidRPr="00A57F4B">
        <w:rPr>
          <w:lang w:val="en-AU"/>
        </w:rPr>
        <w:t>Strikes such as the Maritime, Miners’ and Shearers’ strikes of the 1890s were often evaluated as an example of unsuccessful protests (in the short term), while marches such as the Reclaim the Night marches and gay Mardi Gras were often also described.</w:t>
      </w:r>
      <w:r w:rsidR="00CC564A" w:rsidRPr="00A57F4B">
        <w:rPr>
          <w:lang w:val="en-AU"/>
        </w:rPr>
        <w:t xml:space="preserve"> </w:t>
      </w:r>
      <w:r w:rsidR="00A3188E" w:rsidRPr="00A57F4B">
        <w:rPr>
          <w:lang w:val="en-AU"/>
        </w:rPr>
        <w:t>Aboriginal protests such as the Yirrkala bark petition, Freedom Rides or the Wave Hill walk-off were also used as examples of protests with varying degrees of success.</w:t>
      </w:r>
      <w:r w:rsidR="00CC564A" w:rsidRPr="00A57F4B">
        <w:rPr>
          <w:lang w:val="en-AU"/>
        </w:rPr>
        <w:t xml:space="preserve"> </w:t>
      </w:r>
      <w:r w:rsidR="00DB797B" w:rsidRPr="00A57F4B">
        <w:rPr>
          <w:lang w:val="en-AU"/>
        </w:rPr>
        <w:t>Many students also described the Eureka Stockade</w:t>
      </w:r>
      <w:r w:rsidR="00A3188E" w:rsidRPr="00A57F4B">
        <w:rPr>
          <w:lang w:val="en-AU"/>
        </w:rPr>
        <w:t xml:space="preserve"> in 1854</w:t>
      </w:r>
      <w:r w:rsidR="00DB797B" w:rsidRPr="00A57F4B">
        <w:rPr>
          <w:lang w:val="en-AU"/>
        </w:rPr>
        <w:t xml:space="preserve"> and the political changes that occurred in Victoria following the rebellion</w:t>
      </w:r>
      <w:r w:rsidR="00ED3FE6">
        <w:rPr>
          <w:lang w:val="en-AU"/>
        </w:rPr>
        <w:t>,</w:t>
      </w:r>
      <w:r w:rsidR="00A3188E" w:rsidRPr="00A57F4B">
        <w:rPr>
          <w:lang w:val="en-AU"/>
        </w:rPr>
        <w:t xml:space="preserve"> such as universal manhood suffrage, vote by secret ballot and, later, payment of members</w:t>
      </w:r>
      <w:r w:rsidR="00DB797B" w:rsidRPr="00A57F4B">
        <w:rPr>
          <w:lang w:val="en-AU"/>
        </w:rPr>
        <w:t xml:space="preserve">. </w:t>
      </w:r>
      <w:r w:rsidR="004F3F5F" w:rsidRPr="00A57F4B">
        <w:rPr>
          <w:lang w:val="en-AU"/>
        </w:rPr>
        <w:t xml:space="preserve">The </w:t>
      </w:r>
      <w:r w:rsidR="0099610A" w:rsidRPr="00A57F4B">
        <w:rPr>
          <w:lang w:val="en-AU"/>
        </w:rPr>
        <w:t>highest-scoring responses</w:t>
      </w:r>
      <w:r w:rsidR="004F3F5F" w:rsidRPr="00A57F4B">
        <w:rPr>
          <w:lang w:val="en-AU"/>
        </w:rPr>
        <w:t xml:space="preserve"> also provided a brea</w:t>
      </w:r>
      <w:r w:rsidR="00DB797B" w:rsidRPr="00A57F4B">
        <w:rPr>
          <w:lang w:val="en-AU"/>
        </w:rPr>
        <w:t>d</w:t>
      </w:r>
      <w:r w:rsidR="004F3F5F" w:rsidRPr="00A57F4B">
        <w:rPr>
          <w:lang w:val="en-AU"/>
        </w:rPr>
        <w:t>th of knowledge across different groups and across time.</w:t>
      </w:r>
      <w:r w:rsidR="00CC564A" w:rsidRPr="00A57F4B">
        <w:rPr>
          <w:lang w:val="en-AU"/>
        </w:rPr>
        <w:t xml:space="preserve"> </w:t>
      </w:r>
    </w:p>
    <w:p w14:paraId="3219665D" w14:textId="794870C8" w:rsidR="00BB64D5" w:rsidRPr="00A57F4B" w:rsidRDefault="00A3188E" w:rsidP="00BB64D5">
      <w:pPr>
        <w:pStyle w:val="VCAAbody"/>
        <w:rPr>
          <w:lang w:val="en-AU"/>
        </w:rPr>
      </w:pPr>
      <w:r w:rsidRPr="00A57F4B">
        <w:rPr>
          <w:lang w:val="en-AU"/>
        </w:rPr>
        <w:t>The following is an example of a contention being established in the first two sentences:</w:t>
      </w:r>
    </w:p>
    <w:p w14:paraId="01CD59F2" w14:textId="6B1BA09D" w:rsidR="0011350D" w:rsidRPr="00A57F4B" w:rsidRDefault="0011350D" w:rsidP="00262870">
      <w:pPr>
        <w:pStyle w:val="VCAAstudentexample"/>
        <w:ind w:left="284"/>
      </w:pPr>
      <w:r w:rsidRPr="00A57F4B">
        <w:t>During the period spanning 1850 to 1998, protest was successful in challenging Australian power dynamics, especially in the labour and political climates</w:t>
      </w:r>
      <w:r w:rsidR="00050596" w:rsidRPr="00A57F4B">
        <w:t>. However, this success would be</w:t>
      </w:r>
      <w:r w:rsidR="003B6F4E" w:rsidRPr="00A57F4B">
        <w:t xml:space="preserve"> largely</w:t>
      </w:r>
      <w:r w:rsidR="00050596" w:rsidRPr="00A57F4B">
        <w:t xml:space="preserve"> limited to white males, as females and Indigenous Australians were</w:t>
      </w:r>
      <w:r w:rsidR="00CA0F62" w:rsidRPr="00A57F4B">
        <w:t xml:space="preserve"> often</w:t>
      </w:r>
      <w:r w:rsidR="00050596" w:rsidRPr="00A57F4B">
        <w:t xml:space="preserve"> confined in their ability to achieve change.</w:t>
      </w:r>
    </w:p>
    <w:p w14:paraId="1DED9FE6" w14:textId="7B98BE48" w:rsidR="00A3188E" w:rsidRPr="00A57F4B" w:rsidRDefault="00A3188E" w:rsidP="00BB64D5">
      <w:pPr>
        <w:pStyle w:val="VCAAbody"/>
        <w:rPr>
          <w:color w:val="auto"/>
          <w:lang w:val="en-AU"/>
        </w:rPr>
      </w:pPr>
      <w:r w:rsidRPr="00A57F4B">
        <w:rPr>
          <w:lang w:val="en-AU"/>
        </w:rPr>
        <w:t xml:space="preserve">This response subsequently analysed the Eureka Stockade and strikes of the 1890s and the subsequent growth of the </w:t>
      </w:r>
      <w:proofErr w:type="spellStart"/>
      <w:r w:rsidRPr="00A57F4B">
        <w:rPr>
          <w:lang w:val="en-AU"/>
        </w:rPr>
        <w:t>Labor</w:t>
      </w:r>
      <w:proofErr w:type="spellEnd"/>
      <w:r w:rsidRPr="00A57F4B">
        <w:rPr>
          <w:lang w:val="en-AU"/>
        </w:rPr>
        <w:t xml:space="preserve"> Party, before comparing </w:t>
      </w:r>
      <w:r w:rsidR="00ED3FE6">
        <w:rPr>
          <w:lang w:val="en-AU"/>
        </w:rPr>
        <w:t xml:space="preserve">this </w:t>
      </w:r>
      <w:r w:rsidRPr="00A57F4B">
        <w:rPr>
          <w:lang w:val="en-AU"/>
        </w:rPr>
        <w:t>to the limited gains achieved by the women’s liberation movement and campaigns for Aboriginal civil and land rights.</w:t>
      </w:r>
    </w:p>
    <w:p w14:paraId="21193F6A" w14:textId="54082D38" w:rsidR="005566E0" w:rsidRPr="00A57F4B" w:rsidRDefault="005566E0" w:rsidP="005566E0">
      <w:pPr>
        <w:pStyle w:val="VCAAHeading3"/>
        <w:rPr>
          <w:lang w:val="en-AU"/>
        </w:rPr>
      </w:pPr>
      <w:r w:rsidRPr="00A57F4B">
        <w:rPr>
          <w:lang w:val="en-AU"/>
        </w:rPr>
        <w:t>Question 4a.</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447E5B38"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4276754" w14:textId="77777777" w:rsidR="00C7345C" w:rsidRPr="00A57F4B" w:rsidRDefault="00C7345C" w:rsidP="00A57F4B">
            <w:pPr>
              <w:pStyle w:val="VCAAtablecondensedheading"/>
              <w:rPr>
                <w:lang w:val="en-AU"/>
              </w:rPr>
            </w:pPr>
            <w:r w:rsidRPr="00A57F4B">
              <w:rPr>
                <w:lang w:val="en-AU"/>
              </w:rPr>
              <w:t>Marks</w:t>
            </w:r>
          </w:p>
        </w:tc>
        <w:tc>
          <w:tcPr>
            <w:tcW w:w="864" w:type="dxa"/>
          </w:tcPr>
          <w:p w14:paraId="36B3EB3E" w14:textId="77777777" w:rsidR="00C7345C" w:rsidRPr="00A57F4B" w:rsidRDefault="00C7345C" w:rsidP="00A57F4B">
            <w:pPr>
              <w:pStyle w:val="VCAAtablecondensedheading"/>
              <w:rPr>
                <w:lang w:val="en-AU"/>
              </w:rPr>
            </w:pPr>
            <w:r w:rsidRPr="00A57F4B">
              <w:rPr>
                <w:lang w:val="en-AU"/>
              </w:rPr>
              <w:t>0</w:t>
            </w:r>
          </w:p>
        </w:tc>
        <w:tc>
          <w:tcPr>
            <w:tcW w:w="864" w:type="dxa"/>
          </w:tcPr>
          <w:p w14:paraId="2F546851" w14:textId="77777777" w:rsidR="00C7345C" w:rsidRPr="00A57F4B" w:rsidRDefault="00C7345C" w:rsidP="00A57F4B">
            <w:pPr>
              <w:pStyle w:val="VCAAtablecondensedheading"/>
              <w:rPr>
                <w:lang w:val="en-AU"/>
              </w:rPr>
            </w:pPr>
            <w:r w:rsidRPr="00A57F4B">
              <w:rPr>
                <w:lang w:val="en-AU"/>
              </w:rPr>
              <w:t>1</w:t>
            </w:r>
          </w:p>
        </w:tc>
        <w:tc>
          <w:tcPr>
            <w:tcW w:w="864" w:type="dxa"/>
          </w:tcPr>
          <w:p w14:paraId="5432A725" w14:textId="77777777" w:rsidR="00C7345C" w:rsidRPr="00A57F4B" w:rsidRDefault="00C7345C" w:rsidP="00A57F4B">
            <w:pPr>
              <w:pStyle w:val="VCAAtablecondensedheading"/>
              <w:rPr>
                <w:lang w:val="en-AU"/>
              </w:rPr>
            </w:pPr>
            <w:r w:rsidRPr="00A57F4B">
              <w:rPr>
                <w:lang w:val="en-AU"/>
              </w:rPr>
              <w:t>2</w:t>
            </w:r>
          </w:p>
        </w:tc>
        <w:tc>
          <w:tcPr>
            <w:tcW w:w="864" w:type="dxa"/>
          </w:tcPr>
          <w:p w14:paraId="3643075D" w14:textId="77777777" w:rsidR="00C7345C" w:rsidRPr="00A57F4B" w:rsidRDefault="00C7345C" w:rsidP="00A57F4B">
            <w:pPr>
              <w:pStyle w:val="VCAAtablecondensedheading"/>
              <w:rPr>
                <w:lang w:val="en-AU"/>
              </w:rPr>
            </w:pPr>
            <w:r w:rsidRPr="00A57F4B">
              <w:rPr>
                <w:lang w:val="en-AU"/>
              </w:rPr>
              <w:t>Average</w:t>
            </w:r>
          </w:p>
        </w:tc>
      </w:tr>
      <w:tr w:rsidR="00C7345C" w:rsidRPr="00A57F4B" w14:paraId="472D5976" w14:textId="77777777" w:rsidTr="007838F5">
        <w:trPr>
          <w:trHeight w:hRule="exact" w:val="397"/>
        </w:trPr>
        <w:tc>
          <w:tcPr>
            <w:tcW w:w="864" w:type="dxa"/>
          </w:tcPr>
          <w:p w14:paraId="3E7E446B"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0D1384E1" w14:textId="26407E9F" w:rsidR="00C7345C" w:rsidRPr="00A57F4B" w:rsidRDefault="00AC06B8" w:rsidP="00A57F4B">
            <w:pPr>
              <w:pStyle w:val="VCAAtablecondensedheading"/>
              <w:rPr>
                <w:color w:val="000000" w:themeColor="text1"/>
                <w:lang w:val="en-AU"/>
              </w:rPr>
            </w:pPr>
            <w:r w:rsidRPr="00A57F4B">
              <w:rPr>
                <w:color w:val="000000" w:themeColor="text1"/>
                <w:lang w:val="en-AU"/>
              </w:rPr>
              <w:t>1</w:t>
            </w:r>
          </w:p>
        </w:tc>
        <w:tc>
          <w:tcPr>
            <w:tcW w:w="864" w:type="dxa"/>
            <w:vAlign w:val="center"/>
          </w:tcPr>
          <w:p w14:paraId="40DD7492" w14:textId="347589D5" w:rsidR="00C7345C" w:rsidRPr="00A57F4B" w:rsidRDefault="00AC06B8" w:rsidP="00A57F4B">
            <w:pPr>
              <w:pStyle w:val="VCAAtablecondensedheading"/>
              <w:rPr>
                <w:color w:val="000000" w:themeColor="text1"/>
                <w:lang w:val="en-AU"/>
              </w:rPr>
            </w:pPr>
            <w:r w:rsidRPr="00A57F4B">
              <w:rPr>
                <w:color w:val="000000" w:themeColor="text1"/>
                <w:lang w:val="en-AU"/>
              </w:rPr>
              <w:t>10</w:t>
            </w:r>
          </w:p>
        </w:tc>
        <w:tc>
          <w:tcPr>
            <w:tcW w:w="864" w:type="dxa"/>
            <w:vAlign w:val="center"/>
          </w:tcPr>
          <w:p w14:paraId="0ACDCDCC" w14:textId="2961AA14" w:rsidR="00C7345C" w:rsidRPr="00A57F4B" w:rsidRDefault="00AC06B8" w:rsidP="00A57F4B">
            <w:pPr>
              <w:pStyle w:val="VCAAtablecondensedheading"/>
              <w:rPr>
                <w:color w:val="000000" w:themeColor="text1"/>
                <w:lang w:val="en-AU"/>
              </w:rPr>
            </w:pPr>
            <w:r w:rsidRPr="00A57F4B">
              <w:rPr>
                <w:color w:val="000000" w:themeColor="text1"/>
                <w:lang w:val="en-AU"/>
              </w:rPr>
              <w:t>90</w:t>
            </w:r>
          </w:p>
        </w:tc>
        <w:tc>
          <w:tcPr>
            <w:tcW w:w="864" w:type="dxa"/>
          </w:tcPr>
          <w:p w14:paraId="145CCCE6" w14:textId="381D89B4" w:rsidR="00C7345C" w:rsidRPr="00A57F4B" w:rsidRDefault="00AC06B8" w:rsidP="00A57F4B">
            <w:pPr>
              <w:pStyle w:val="VCAAtablecondensedheading"/>
              <w:rPr>
                <w:color w:val="000000" w:themeColor="text1"/>
                <w:lang w:val="en-AU"/>
              </w:rPr>
            </w:pPr>
            <w:r w:rsidRPr="00A57F4B">
              <w:rPr>
                <w:color w:val="000000" w:themeColor="text1"/>
                <w:lang w:val="en-AU"/>
              </w:rPr>
              <w:t>1.9</w:t>
            </w:r>
          </w:p>
        </w:tc>
      </w:tr>
    </w:tbl>
    <w:p w14:paraId="1699E459" w14:textId="11309EDC" w:rsidR="00C2507C" w:rsidRPr="00A57F4B" w:rsidRDefault="00C2507C" w:rsidP="00C2507C">
      <w:pPr>
        <w:pStyle w:val="VCAAbody"/>
        <w:rPr>
          <w:lang w:val="en-AU"/>
        </w:rPr>
      </w:pPr>
      <w:r w:rsidRPr="00A57F4B">
        <w:rPr>
          <w:lang w:val="en-AU"/>
        </w:rPr>
        <w:t>Students were required to identify</w:t>
      </w:r>
      <w:r w:rsidR="006604D6" w:rsidRPr="00A57F4B">
        <w:rPr>
          <w:lang w:val="en-AU"/>
        </w:rPr>
        <w:t xml:space="preserve"> </w:t>
      </w:r>
      <w:r w:rsidRPr="00A57F4B">
        <w:rPr>
          <w:lang w:val="en-AU"/>
        </w:rPr>
        <w:t>two roles available for women throughout World War I</w:t>
      </w:r>
      <w:r w:rsidR="006604D6" w:rsidRPr="00A57F4B">
        <w:rPr>
          <w:lang w:val="en-AU"/>
        </w:rPr>
        <w:t xml:space="preserve"> in Source 1</w:t>
      </w:r>
      <w:r w:rsidR="00267675" w:rsidRPr="00A57F4B">
        <w:rPr>
          <w:lang w:val="en-AU"/>
        </w:rPr>
        <w:t>3</w:t>
      </w:r>
      <w:r w:rsidRPr="00A57F4B">
        <w:rPr>
          <w:lang w:val="en-AU"/>
        </w:rPr>
        <w:t>. The majority of students correctly identified that women could work within the Red Cross as VADs either in a full</w:t>
      </w:r>
      <w:r w:rsidR="0077268D" w:rsidRPr="00A57F4B">
        <w:rPr>
          <w:lang w:val="en-AU"/>
        </w:rPr>
        <w:t>-</w:t>
      </w:r>
      <w:r w:rsidRPr="00A57F4B">
        <w:rPr>
          <w:lang w:val="en-AU"/>
        </w:rPr>
        <w:t xml:space="preserve"> or part-time capacity carrying out a range of domestic or nursing duties in hospitals or continue their main role as wives and mothers.</w:t>
      </w:r>
    </w:p>
    <w:p w14:paraId="4499DE14" w14:textId="611D07B9" w:rsidR="005566E0" w:rsidRPr="00A57F4B" w:rsidRDefault="005566E0" w:rsidP="005566E0">
      <w:pPr>
        <w:pStyle w:val="VCAAHeading3"/>
        <w:rPr>
          <w:lang w:val="en-AU"/>
        </w:rPr>
      </w:pPr>
      <w:r w:rsidRPr="00A57F4B">
        <w:rPr>
          <w:lang w:val="en-AU"/>
        </w:rPr>
        <w:t>Question 4b.</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tblGrid>
      <w:tr w:rsidR="00C7345C" w:rsidRPr="00A57F4B" w14:paraId="6C44CA0A"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F794DD7" w14:textId="77777777" w:rsidR="00C7345C" w:rsidRPr="00A57F4B" w:rsidRDefault="00C7345C" w:rsidP="00A57F4B">
            <w:pPr>
              <w:pStyle w:val="VCAAtablecondensedheading"/>
              <w:rPr>
                <w:lang w:val="en-AU"/>
              </w:rPr>
            </w:pPr>
            <w:r w:rsidRPr="00A57F4B">
              <w:rPr>
                <w:lang w:val="en-AU"/>
              </w:rPr>
              <w:t>Marks</w:t>
            </w:r>
          </w:p>
        </w:tc>
        <w:tc>
          <w:tcPr>
            <w:tcW w:w="864" w:type="dxa"/>
          </w:tcPr>
          <w:p w14:paraId="1BAC2F5D" w14:textId="77777777" w:rsidR="00C7345C" w:rsidRPr="00A57F4B" w:rsidRDefault="00C7345C" w:rsidP="00A57F4B">
            <w:pPr>
              <w:pStyle w:val="VCAAtablecondensedheading"/>
              <w:rPr>
                <w:lang w:val="en-AU"/>
              </w:rPr>
            </w:pPr>
            <w:r w:rsidRPr="00A57F4B">
              <w:rPr>
                <w:lang w:val="en-AU"/>
              </w:rPr>
              <w:t>0</w:t>
            </w:r>
          </w:p>
        </w:tc>
        <w:tc>
          <w:tcPr>
            <w:tcW w:w="864" w:type="dxa"/>
          </w:tcPr>
          <w:p w14:paraId="37A1B8CF" w14:textId="77777777" w:rsidR="00C7345C" w:rsidRPr="00A57F4B" w:rsidRDefault="00C7345C" w:rsidP="00A57F4B">
            <w:pPr>
              <w:pStyle w:val="VCAAtablecondensedheading"/>
              <w:rPr>
                <w:lang w:val="en-AU"/>
              </w:rPr>
            </w:pPr>
            <w:r w:rsidRPr="00A57F4B">
              <w:rPr>
                <w:lang w:val="en-AU"/>
              </w:rPr>
              <w:t>1</w:t>
            </w:r>
          </w:p>
        </w:tc>
        <w:tc>
          <w:tcPr>
            <w:tcW w:w="864" w:type="dxa"/>
          </w:tcPr>
          <w:p w14:paraId="523BB59D" w14:textId="77777777" w:rsidR="00C7345C" w:rsidRPr="00A57F4B" w:rsidRDefault="00C7345C" w:rsidP="00A57F4B">
            <w:pPr>
              <w:pStyle w:val="VCAAtablecondensedheading"/>
              <w:rPr>
                <w:lang w:val="en-AU"/>
              </w:rPr>
            </w:pPr>
            <w:r w:rsidRPr="00A57F4B">
              <w:rPr>
                <w:lang w:val="en-AU"/>
              </w:rPr>
              <w:t>2</w:t>
            </w:r>
          </w:p>
        </w:tc>
        <w:tc>
          <w:tcPr>
            <w:tcW w:w="864" w:type="dxa"/>
          </w:tcPr>
          <w:p w14:paraId="57B32EC3" w14:textId="77777777" w:rsidR="00C7345C" w:rsidRPr="00A57F4B" w:rsidRDefault="00C7345C" w:rsidP="00A57F4B">
            <w:pPr>
              <w:pStyle w:val="VCAAtablecondensedheading"/>
              <w:rPr>
                <w:lang w:val="en-AU"/>
              </w:rPr>
            </w:pPr>
            <w:r w:rsidRPr="00A57F4B">
              <w:rPr>
                <w:lang w:val="en-AU"/>
              </w:rPr>
              <w:t>3</w:t>
            </w:r>
          </w:p>
        </w:tc>
        <w:tc>
          <w:tcPr>
            <w:tcW w:w="864" w:type="dxa"/>
          </w:tcPr>
          <w:p w14:paraId="1015C9CE" w14:textId="77777777" w:rsidR="00C7345C" w:rsidRPr="00A57F4B" w:rsidRDefault="00C7345C" w:rsidP="00A57F4B">
            <w:pPr>
              <w:pStyle w:val="VCAAtablecondensedheading"/>
              <w:rPr>
                <w:lang w:val="en-AU"/>
              </w:rPr>
            </w:pPr>
            <w:r w:rsidRPr="00A57F4B">
              <w:rPr>
                <w:lang w:val="en-AU"/>
              </w:rPr>
              <w:t>4</w:t>
            </w:r>
          </w:p>
        </w:tc>
        <w:tc>
          <w:tcPr>
            <w:tcW w:w="864" w:type="dxa"/>
          </w:tcPr>
          <w:p w14:paraId="2EEBAAF2" w14:textId="77777777" w:rsidR="00C7345C" w:rsidRPr="00A57F4B" w:rsidRDefault="00C7345C" w:rsidP="00A57F4B">
            <w:pPr>
              <w:pStyle w:val="VCAAtablecondensedheading"/>
              <w:rPr>
                <w:lang w:val="en-AU"/>
              </w:rPr>
            </w:pPr>
            <w:r w:rsidRPr="00A57F4B">
              <w:rPr>
                <w:lang w:val="en-AU"/>
              </w:rPr>
              <w:t>5</w:t>
            </w:r>
          </w:p>
        </w:tc>
        <w:tc>
          <w:tcPr>
            <w:tcW w:w="864" w:type="dxa"/>
          </w:tcPr>
          <w:p w14:paraId="2209C7DA" w14:textId="77777777" w:rsidR="00C7345C" w:rsidRPr="00A57F4B" w:rsidRDefault="00C7345C" w:rsidP="00A57F4B">
            <w:pPr>
              <w:pStyle w:val="VCAAtablecondensedheading"/>
              <w:rPr>
                <w:lang w:val="en-AU"/>
              </w:rPr>
            </w:pPr>
            <w:r w:rsidRPr="00A57F4B">
              <w:rPr>
                <w:lang w:val="en-AU"/>
              </w:rPr>
              <w:t>Average</w:t>
            </w:r>
          </w:p>
        </w:tc>
      </w:tr>
      <w:tr w:rsidR="00C7345C" w:rsidRPr="00A57F4B" w14:paraId="40D574A0" w14:textId="77777777" w:rsidTr="007838F5">
        <w:trPr>
          <w:trHeight w:hRule="exact" w:val="397"/>
        </w:trPr>
        <w:tc>
          <w:tcPr>
            <w:tcW w:w="864" w:type="dxa"/>
          </w:tcPr>
          <w:p w14:paraId="2607C54A"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132871D7" w14:textId="286A7909" w:rsidR="00C7345C" w:rsidRPr="00A57F4B" w:rsidRDefault="00584238" w:rsidP="00A57F4B">
            <w:pPr>
              <w:pStyle w:val="VCAAtablecondensedheading"/>
              <w:rPr>
                <w:color w:val="000000" w:themeColor="text1"/>
                <w:lang w:val="en-AU"/>
              </w:rPr>
            </w:pPr>
            <w:r w:rsidRPr="00A57F4B">
              <w:rPr>
                <w:color w:val="000000" w:themeColor="text1"/>
                <w:lang w:val="en-AU"/>
              </w:rPr>
              <w:t>5</w:t>
            </w:r>
          </w:p>
        </w:tc>
        <w:tc>
          <w:tcPr>
            <w:tcW w:w="864" w:type="dxa"/>
            <w:vAlign w:val="center"/>
          </w:tcPr>
          <w:p w14:paraId="11A4034D" w14:textId="355C6EF9" w:rsidR="00C7345C" w:rsidRPr="00A57F4B" w:rsidRDefault="00584238" w:rsidP="00A57F4B">
            <w:pPr>
              <w:pStyle w:val="VCAAtablecondensedheading"/>
              <w:rPr>
                <w:color w:val="000000" w:themeColor="text1"/>
                <w:lang w:val="en-AU"/>
              </w:rPr>
            </w:pPr>
            <w:r w:rsidRPr="00A57F4B">
              <w:rPr>
                <w:color w:val="000000" w:themeColor="text1"/>
                <w:lang w:val="en-AU"/>
              </w:rPr>
              <w:t>9</w:t>
            </w:r>
          </w:p>
        </w:tc>
        <w:tc>
          <w:tcPr>
            <w:tcW w:w="864" w:type="dxa"/>
            <w:vAlign w:val="center"/>
          </w:tcPr>
          <w:p w14:paraId="5C1F4B4E" w14:textId="4170E129" w:rsidR="00C7345C" w:rsidRPr="00A57F4B" w:rsidRDefault="00584238" w:rsidP="00A57F4B">
            <w:pPr>
              <w:pStyle w:val="VCAAtablecondensedheading"/>
              <w:rPr>
                <w:color w:val="000000" w:themeColor="text1"/>
                <w:lang w:val="en-AU"/>
              </w:rPr>
            </w:pPr>
            <w:r w:rsidRPr="00A57F4B">
              <w:rPr>
                <w:color w:val="000000" w:themeColor="text1"/>
                <w:lang w:val="en-AU"/>
              </w:rPr>
              <w:t>28</w:t>
            </w:r>
          </w:p>
        </w:tc>
        <w:tc>
          <w:tcPr>
            <w:tcW w:w="864" w:type="dxa"/>
          </w:tcPr>
          <w:p w14:paraId="3798E13A" w14:textId="18C5C8DE" w:rsidR="00C7345C" w:rsidRPr="00A57F4B" w:rsidRDefault="00584238" w:rsidP="00A57F4B">
            <w:pPr>
              <w:pStyle w:val="VCAAtablecondensedheading"/>
              <w:rPr>
                <w:color w:val="000000" w:themeColor="text1"/>
                <w:lang w:val="en-AU"/>
              </w:rPr>
            </w:pPr>
            <w:r w:rsidRPr="00A57F4B">
              <w:rPr>
                <w:color w:val="000000" w:themeColor="text1"/>
                <w:lang w:val="en-AU"/>
              </w:rPr>
              <w:t>28</w:t>
            </w:r>
          </w:p>
        </w:tc>
        <w:tc>
          <w:tcPr>
            <w:tcW w:w="864" w:type="dxa"/>
          </w:tcPr>
          <w:p w14:paraId="7F054B81" w14:textId="2BEDD2C8" w:rsidR="00C7345C" w:rsidRPr="00A57F4B" w:rsidRDefault="00584238" w:rsidP="00A57F4B">
            <w:pPr>
              <w:pStyle w:val="VCAAtablecondensedheading"/>
              <w:rPr>
                <w:color w:val="000000" w:themeColor="text1"/>
                <w:lang w:val="en-AU"/>
              </w:rPr>
            </w:pPr>
            <w:r w:rsidRPr="00A57F4B">
              <w:rPr>
                <w:color w:val="000000" w:themeColor="text1"/>
                <w:lang w:val="en-AU"/>
              </w:rPr>
              <w:t>18</w:t>
            </w:r>
          </w:p>
        </w:tc>
        <w:tc>
          <w:tcPr>
            <w:tcW w:w="864" w:type="dxa"/>
          </w:tcPr>
          <w:p w14:paraId="092E811D" w14:textId="778398EC" w:rsidR="00C7345C" w:rsidRPr="00A57F4B" w:rsidRDefault="00584238" w:rsidP="00A57F4B">
            <w:pPr>
              <w:pStyle w:val="VCAAtablecondensedheading"/>
              <w:rPr>
                <w:color w:val="000000" w:themeColor="text1"/>
                <w:lang w:val="en-AU"/>
              </w:rPr>
            </w:pPr>
            <w:r w:rsidRPr="00A57F4B">
              <w:rPr>
                <w:color w:val="000000" w:themeColor="text1"/>
                <w:lang w:val="en-AU"/>
              </w:rPr>
              <w:t>13</w:t>
            </w:r>
          </w:p>
        </w:tc>
        <w:tc>
          <w:tcPr>
            <w:tcW w:w="864" w:type="dxa"/>
          </w:tcPr>
          <w:p w14:paraId="581BE2B7" w14:textId="76106522" w:rsidR="00C7345C" w:rsidRPr="00A57F4B" w:rsidRDefault="00584238" w:rsidP="00A57F4B">
            <w:pPr>
              <w:pStyle w:val="VCAAtablecondensedheading"/>
              <w:rPr>
                <w:color w:val="000000" w:themeColor="text1"/>
                <w:lang w:val="en-AU"/>
              </w:rPr>
            </w:pPr>
            <w:r w:rsidRPr="00A57F4B">
              <w:rPr>
                <w:color w:val="000000" w:themeColor="text1"/>
                <w:lang w:val="en-AU"/>
              </w:rPr>
              <w:t>2.9</w:t>
            </w:r>
          </w:p>
        </w:tc>
      </w:tr>
    </w:tbl>
    <w:p w14:paraId="13795B08" w14:textId="525F9E5E" w:rsidR="00C2507C" w:rsidRPr="00A57F4B" w:rsidRDefault="00C2507C" w:rsidP="00C2507C">
      <w:pPr>
        <w:pStyle w:val="VCAAbody"/>
        <w:rPr>
          <w:lang w:val="en-AU"/>
        </w:rPr>
      </w:pPr>
      <w:r w:rsidRPr="00A57F4B">
        <w:rPr>
          <w:lang w:val="en-AU"/>
        </w:rPr>
        <w:t>Students were asked to use Source 14, Prime Minister John Curtin’s words to the nation in a newspaper announcement in February 1942</w:t>
      </w:r>
      <w:r w:rsidR="0087617A" w:rsidRPr="00A57F4B">
        <w:rPr>
          <w:lang w:val="en-AU"/>
        </w:rPr>
        <w:t>,</w:t>
      </w:r>
      <w:r w:rsidRPr="00A57F4B">
        <w:rPr>
          <w:lang w:val="en-AU"/>
        </w:rPr>
        <w:t xml:space="preserve"> and their own knowledge to explain the responses required of people on the home front during the war against Japan between 1942 and 1945. There were many </w:t>
      </w:r>
      <w:r w:rsidR="0087617A" w:rsidRPr="00A57F4B">
        <w:rPr>
          <w:lang w:val="en-AU"/>
        </w:rPr>
        <w:t xml:space="preserve">responses </w:t>
      </w:r>
      <w:r w:rsidRPr="00A57F4B">
        <w:rPr>
          <w:lang w:val="en-AU"/>
        </w:rPr>
        <w:t xml:space="preserve">that demonstrated ability in using the source provided and supplementing that evidence with own knowledge. </w:t>
      </w:r>
      <w:r w:rsidRPr="00A57F4B">
        <w:rPr>
          <w:lang w:val="en-AU"/>
        </w:rPr>
        <w:lastRenderedPageBreak/>
        <w:t xml:space="preserve">High-scoring responses provided the explanation </w:t>
      </w:r>
      <w:r w:rsidR="004450A5" w:rsidRPr="00A57F4B">
        <w:rPr>
          <w:lang w:val="en-AU"/>
        </w:rPr>
        <w:t xml:space="preserve">required </w:t>
      </w:r>
      <w:r w:rsidRPr="00A57F4B">
        <w:rPr>
          <w:lang w:val="en-AU"/>
        </w:rPr>
        <w:t xml:space="preserve">by the question, while mid-range responses often resorted to a summary of the source with little reference to the ‘own knowledge’ requirement. </w:t>
      </w:r>
    </w:p>
    <w:p w14:paraId="31A5FB4D" w14:textId="394B6B6B" w:rsidR="00C2507C" w:rsidRPr="00A57F4B" w:rsidRDefault="00C2507C" w:rsidP="00C2507C">
      <w:pPr>
        <w:pStyle w:val="VCAAbody"/>
        <w:rPr>
          <w:lang w:val="en-AU"/>
        </w:rPr>
      </w:pPr>
      <w:r w:rsidRPr="00A57F4B">
        <w:rPr>
          <w:lang w:val="en-AU"/>
        </w:rPr>
        <w:t>The following is an example of a high-scoring response that uses the source and other knowledge to achieve full marks</w:t>
      </w:r>
      <w:r w:rsidR="00EB0E02" w:rsidRPr="00A57F4B">
        <w:rPr>
          <w:lang w:val="en-AU"/>
        </w:rPr>
        <w:t>.</w:t>
      </w:r>
    </w:p>
    <w:p w14:paraId="6BA67EA2" w14:textId="77777777" w:rsidR="009C7977" w:rsidRPr="00A57F4B" w:rsidRDefault="00C2507C" w:rsidP="00267675">
      <w:pPr>
        <w:pStyle w:val="VCAAstudentexample"/>
        <w:ind w:left="284"/>
      </w:pPr>
      <w:r w:rsidRPr="00A57F4B">
        <w:t xml:space="preserve">With the Pacific War raging, as the omnipotent power of Japanese forces incessantly demanded large contribution of allied nations men and capital, Prime Minister John Curtin recognised the “enemy thunders at our gates” as he expressed the threat in that “there is no time: the danger is too great”. With this need for greater production on the </w:t>
      </w:r>
      <w:proofErr w:type="spellStart"/>
      <w:r w:rsidRPr="00A57F4B">
        <w:t>homefront</w:t>
      </w:r>
      <w:proofErr w:type="spellEnd"/>
      <w:r w:rsidRPr="00A57F4B">
        <w:t xml:space="preserve"> as the Bulletin recognised, “the enemy is no longer on the doormat of Australia, it (Japan) is reaching for the door-knocker”, the Australian government introduced the 1942 Manpower Directorate which “impacted the individual liberties and freedom of man”. This Act saw compulsory industrial work, which along with the pervasive ration of short supply goods led to the highly restricted lives on the Australian </w:t>
      </w:r>
      <w:proofErr w:type="spellStart"/>
      <w:r w:rsidRPr="00A57F4B">
        <w:t>homefront</w:t>
      </w:r>
      <w:proofErr w:type="spellEnd"/>
      <w:r w:rsidRPr="00A57F4B">
        <w:t xml:space="preserve">. Similarly, women under the 1942 Women Employment Board, saw them step into the ammunition industry and more directly work to support the desperation of the Pacific War. </w:t>
      </w:r>
    </w:p>
    <w:p w14:paraId="2F63593C" w14:textId="223337BA" w:rsidR="005566E0" w:rsidRPr="00A57F4B" w:rsidRDefault="005566E0" w:rsidP="005566E0">
      <w:pPr>
        <w:pStyle w:val="VCAAHeading3"/>
        <w:rPr>
          <w:lang w:val="en-AU"/>
        </w:rPr>
      </w:pPr>
      <w:r w:rsidRPr="00A57F4B">
        <w:rPr>
          <w:lang w:val="en-AU"/>
        </w:rPr>
        <w:t>Question 4c.</w:t>
      </w:r>
    </w:p>
    <w:tbl>
      <w:tblPr>
        <w:tblStyle w:val="VCAATableClosed"/>
        <w:tblW w:w="0" w:type="auto"/>
        <w:tblLook w:val="01E0" w:firstRow="1" w:lastRow="1" w:firstColumn="1" w:lastColumn="1" w:noHBand="0" w:noVBand="0"/>
      </w:tblPr>
      <w:tblGrid>
        <w:gridCol w:w="864"/>
        <w:gridCol w:w="864"/>
        <w:gridCol w:w="864"/>
        <w:gridCol w:w="864"/>
        <w:gridCol w:w="864"/>
      </w:tblGrid>
      <w:tr w:rsidR="00C7345C" w:rsidRPr="00A57F4B" w14:paraId="02D56275"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C11D718" w14:textId="77777777" w:rsidR="00C7345C" w:rsidRPr="00A57F4B" w:rsidRDefault="00C7345C" w:rsidP="00A57F4B">
            <w:pPr>
              <w:pStyle w:val="VCAAtablecondensedheading"/>
              <w:rPr>
                <w:lang w:val="en-AU"/>
              </w:rPr>
            </w:pPr>
            <w:r w:rsidRPr="00A57F4B">
              <w:rPr>
                <w:lang w:val="en-AU"/>
              </w:rPr>
              <w:t>Marks</w:t>
            </w:r>
          </w:p>
        </w:tc>
        <w:tc>
          <w:tcPr>
            <w:tcW w:w="864" w:type="dxa"/>
          </w:tcPr>
          <w:p w14:paraId="6375A349" w14:textId="77777777" w:rsidR="00C7345C" w:rsidRPr="00A57F4B" w:rsidRDefault="00C7345C" w:rsidP="00A57F4B">
            <w:pPr>
              <w:pStyle w:val="VCAAtablecondensedheading"/>
              <w:rPr>
                <w:lang w:val="en-AU"/>
              </w:rPr>
            </w:pPr>
            <w:r w:rsidRPr="00A57F4B">
              <w:rPr>
                <w:lang w:val="en-AU"/>
              </w:rPr>
              <w:t>0</w:t>
            </w:r>
          </w:p>
        </w:tc>
        <w:tc>
          <w:tcPr>
            <w:tcW w:w="864" w:type="dxa"/>
          </w:tcPr>
          <w:p w14:paraId="3306131E" w14:textId="77777777" w:rsidR="00C7345C" w:rsidRPr="00A57F4B" w:rsidRDefault="00C7345C" w:rsidP="00A57F4B">
            <w:pPr>
              <w:pStyle w:val="VCAAtablecondensedheading"/>
              <w:rPr>
                <w:lang w:val="en-AU"/>
              </w:rPr>
            </w:pPr>
            <w:r w:rsidRPr="00A57F4B">
              <w:rPr>
                <w:lang w:val="en-AU"/>
              </w:rPr>
              <w:t>1</w:t>
            </w:r>
          </w:p>
        </w:tc>
        <w:tc>
          <w:tcPr>
            <w:tcW w:w="864" w:type="dxa"/>
          </w:tcPr>
          <w:p w14:paraId="0B183972" w14:textId="77777777" w:rsidR="00C7345C" w:rsidRPr="00A57F4B" w:rsidRDefault="00C7345C" w:rsidP="00A57F4B">
            <w:pPr>
              <w:pStyle w:val="VCAAtablecondensedheading"/>
              <w:rPr>
                <w:lang w:val="en-AU"/>
              </w:rPr>
            </w:pPr>
            <w:r w:rsidRPr="00A57F4B">
              <w:rPr>
                <w:lang w:val="en-AU"/>
              </w:rPr>
              <w:t>2</w:t>
            </w:r>
          </w:p>
        </w:tc>
        <w:tc>
          <w:tcPr>
            <w:tcW w:w="864" w:type="dxa"/>
          </w:tcPr>
          <w:p w14:paraId="3B609232" w14:textId="77777777" w:rsidR="00C7345C" w:rsidRPr="00A57F4B" w:rsidRDefault="00C7345C" w:rsidP="00A57F4B">
            <w:pPr>
              <w:pStyle w:val="VCAAtablecondensedheading"/>
              <w:rPr>
                <w:lang w:val="en-AU"/>
              </w:rPr>
            </w:pPr>
            <w:r w:rsidRPr="00A57F4B">
              <w:rPr>
                <w:lang w:val="en-AU"/>
              </w:rPr>
              <w:t>Average</w:t>
            </w:r>
          </w:p>
        </w:tc>
      </w:tr>
      <w:tr w:rsidR="00C7345C" w:rsidRPr="00A57F4B" w14:paraId="5FD01985" w14:textId="77777777" w:rsidTr="007838F5">
        <w:trPr>
          <w:trHeight w:hRule="exact" w:val="397"/>
        </w:trPr>
        <w:tc>
          <w:tcPr>
            <w:tcW w:w="864" w:type="dxa"/>
          </w:tcPr>
          <w:p w14:paraId="4F2ED142" w14:textId="77777777" w:rsidR="00C7345C" w:rsidRPr="00A57F4B" w:rsidRDefault="00C7345C" w:rsidP="00A57F4B">
            <w:pPr>
              <w:pStyle w:val="VCAAtablecondensed"/>
              <w:rPr>
                <w:lang w:val="en-AU"/>
              </w:rPr>
            </w:pPr>
            <w:r w:rsidRPr="00A57F4B">
              <w:rPr>
                <w:lang w:val="en-AU"/>
              </w:rPr>
              <w:t>%</w:t>
            </w:r>
          </w:p>
        </w:tc>
        <w:tc>
          <w:tcPr>
            <w:tcW w:w="864" w:type="dxa"/>
            <w:vAlign w:val="center"/>
          </w:tcPr>
          <w:p w14:paraId="521EB801" w14:textId="4B5B846A" w:rsidR="00C7345C" w:rsidRPr="00A57F4B" w:rsidRDefault="00584238" w:rsidP="00A57F4B">
            <w:pPr>
              <w:pStyle w:val="VCAAtablecondensedheading"/>
              <w:rPr>
                <w:color w:val="000000" w:themeColor="text1"/>
                <w:lang w:val="en-AU"/>
              </w:rPr>
            </w:pPr>
            <w:r w:rsidRPr="00A57F4B">
              <w:rPr>
                <w:color w:val="000000" w:themeColor="text1"/>
                <w:lang w:val="en-AU"/>
              </w:rPr>
              <w:t>6</w:t>
            </w:r>
          </w:p>
        </w:tc>
        <w:tc>
          <w:tcPr>
            <w:tcW w:w="864" w:type="dxa"/>
            <w:vAlign w:val="center"/>
          </w:tcPr>
          <w:p w14:paraId="7F85E5D6" w14:textId="7A2BBE1E" w:rsidR="00C7345C" w:rsidRPr="00A57F4B" w:rsidRDefault="00584238" w:rsidP="00A57F4B">
            <w:pPr>
              <w:pStyle w:val="VCAAtablecondensedheading"/>
              <w:rPr>
                <w:color w:val="000000" w:themeColor="text1"/>
                <w:lang w:val="en-AU"/>
              </w:rPr>
            </w:pPr>
            <w:r w:rsidRPr="00A57F4B">
              <w:rPr>
                <w:color w:val="000000" w:themeColor="text1"/>
                <w:lang w:val="en-AU"/>
              </w:rPr>
              <w:t>18</w:t>
            </w:r>
          </w:p>
        </w:tc>
        <w:tc>
          <w:tcPr>
            <w:tcW w:w="864" w:type="dxa"/>
            <w:vAlign w:val="center"/>
          </w:tcPr>
          <w:p w14:paraId="4ECF3D06" w14:textId="50B7743D" w:rsidR="00C7345C" w:rsidRPr="00A57F4B" w:rsidRDefault="00584238" w:rsidP="00A57F4B">
            <w:pPr>
              <w:pStyle w:val="VCAAtablecondensedheading"/>
              <w:rPr>
                <w:color w:val="000000" w:themeColor="text1"/>
                <w:lang w:val="en-AU"/>
              </w:rPr>
            </w:pPr>
            <w:r w:rsidRPr="00A57F4B">
              <w:rPr>
                <w:color w:val="000000" w:themeColor="text1"/>
                <w:lang w:val="en-AU"/>
              </w:rPr>
              <w:t>76</w:t>
            </w:r>
          </w:p>
        </w:tc>
        <w:tc>
          <w:tcPr>
            <w:tcW w:w="864" w:type="dxa"/>
          </w:tcPr>
          <w:p w14:paraId="7F64F9CD" w14:textId="4058ECAC" w:rsidR="00C7345C" w:rsidRPr="00A57F4B" w:rsidRDefault="00584238" w:rsidP="00A57F4B">
            <w:pPr>
              <w:pStyle w:val="VCAAtablecondensedheading"/>
              <w:rPr>
                <w:color w:val="000000" w:themeColor="text1"/>
                <w:lang w:val="en-AU"/>
              </w:rPr>
            </w:pPr>
            <w:r w:rsidRPr="00A57F4B">
              <w:rPr>
                <w:color w:val="000000" w:themeColor="text1"/>
                <w:lang w:val="en-AU"/>
              </w:rPr>
              <w:t>1.7</w:t>
            </w:r>
          </w:p>
        </w:tc>
      </w:tr>
    </w:tbl>
    <w:p w14:paraId="6D664EF4" w14:textId="582BC115" w:rsidR="00C2507C" w:rsidRPr="00A57F4B" w:rsidRDefault="00C2507C" w:rsidP="00C2507C">
      <w:pPr>
        <w:pStyle w:val="VCAAbody"/>
        <w:rPr>
          <w:lang w:val="en-AU"/>
        </w:rPr>
      </w:pPr>
      <w:r w:rsidRPr="00A57F4B">
        <w:rPr>
          <w:lang w:val="en-AU"/>
        </w:rPr>
        <w:t xml:space="preserve">Students were asked to outline one idea </w:t>
      </w:r>
      <w:r w:rsidR="00EB0E02" w:rsidRPr="00A57F4B">
        <w:rPr>
          <w:lang w:val="en-AU"/>
        </w:rPr>
        <w:t xml:space="preserve">from Source 15 </w:t>
      </w:r>
      <w:r w:rsidRPr="00A57F4B">
        <w:rPr>
          <w:lang w:val="en-AU"/>
        </w:rPr>
        <w:t>about regional security that influenced Australia’s involvement in post</w:t>
      </w:r>
      <w:r w:rsidR="00ED3FE6">
        <w:rPr>
          <w:lang w:val="en-AU"/>
        </w:rPr>
        <w:t>–</w:t>
      </w:r>
      <w:r w:rsidRPr="00A57F4B">
        <w:rPr>
          <w:lang w:val="en-AU"/>
        </w:rPr>
        <w:t>World War II conflicts. The majority of students successfully identified that the main idea in the Liberal Party 1966 election poster was the Domino Theory and fear of communist aggression gradually encroaching south towards Australia</w:t>
      </w:r>
      <w:r w:rsidR="00ED3FE6">
        <w:rPr>
          <w:lang w:val="en-AU"/>
        </w:rPr>
        <w:t>,</w:t>
      </w:r>
      <w:r w:rsidRPr="00A57F4B">
        <w:rPr>
          <w:lang w:val="en-AU"/>
        </w:rPr>
        <w:t xml:space="preserve"> and the perception that the Liberal Party would </w:t>
      </w:r>
      <w:r w:rsidR="00377147" w:rsidRPr="00A57F4B">
        <w:rPr>
          <w:lang w:val="en-AU"/>
        </w:rPr>
        <w:t>‘</w:t>
      </w:r>
      <w:r w:rsidRPr="00A57F4B">
        <w:rPr>
          <w:lang w:val="en-AU"/>
        </w:rPr>
        <w:t>draw the line against Communist aggression</w:t>
      </w:r>
      <w:r w:rsidR="00377147" w:rsidRPr="00A57F4B">
        <w:rPr>
          <w:lang w:val="en-AU"/>
        </w:rPr>
        <w:t>’</w:t>
      </w:r>
      <w:r w:rsidRPr="00A57F4B">
        <w:rPr>
          <w:lang w:val="en-AU"/>
        </w:rPr>
        <w:t>.</w:t>
      </w:r>
    </w:p>
    <w:p w14:paraId="506271B8" w14:textId="13D7F1C4" w:rsidR="005566E0" w:rsidRPr="00A57F4B" w:rsidRDefault="005566E0" w:rsidP="005566E0">
      <w:pPr>
        <w:pStyle w:val="VCAAHeading3"/>
        <w:rPr>
          <w:lang w:val="en-AU"/>
        </w:rPr>
      </w:pPr>
      <w:r w:rsidRPr="00A57F4B">
        <w:rPr>
          <w:lang w:val="en-AU"/>
        </w:rPr>
        <w:t>Question 4d.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E111F3" w:rsidRPr="00A57F4B" w14:paraId="6790A4FE"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40414D0" w14:textId="77777777" w:rsidR="00E111F3" w:rsidRPr="00A57F4B" w:rsidRDefault="00E111F3" w:rsidP="00A57F4B">
            <w:pPr>
              <w:pStyle w:val="VCAAtablecondensedheading"/>
              <w:rPr>
                <w:lang w:val="en-AU"/>
              </w:rPr>
            </w:pPr>
            <w:r w:rsidRPr="00A57F4B">
              <w:rPr>
                <w:lang w:val="en-AU"/>
              </w:rPr>
              <w:t>Marks</w:t>
            </w:r>
          </w:p>
        </w:tc>
        <w:tc>
          <w:tcPr>
            <w:tcW w:w="864" w:type="dxa"/>
          </w:tcPr>
          <w:p w14:paraId="1B9F4CC7" w14:textId="77777777" w:rsidR="00E111F3" w:rsidRPr="00A57F4B" w:rsidRDefault="00E111F3" w:rsidP="00A57F4B">
            <w:pPr>
              <w:pStyle w:val="VCAAtablecondensedheading"/>
              <w:rPr>
                <w:lang w:val="en-AU"/>
              </w:rPr>
            </w:pPr>
            <w:r w:rsidRPr="00A57F4B">
              <w:rPr>
                <w:lang w:val="en-AU"/>
              </w:rPr>
              <w:t>0</w:t>
            </w:r>
          </w:p>
        </w:tc>
        <w:tc>
          <w:tcPr>
            <w:tcW w:w="864" w:type="dxa"/>
          </w:tcPr>
          <w:p w14:paraId="49512045" w14:textId="77777777" w:rsidR="00E111F3" w:rsidRPr="00A57F4B" w:rsidRDefault="00E111F3" w:rsidP="00A57F4B">
            <w:pPr>
              <w:pStyle w:val="VCAAtablecondensedheading"/>
              <w:rPr>
                <w:lang w:val="en-AU"/>
              </w:rPr>
            </w:pPr>
            <w:r w:rsidRPr="00A57F4B">
              <w:rPr>
                <w:lang w:val="en-AU"/>
              </w:rPr>
              <w:t>1</w:t>
            </w:r>
          </w:p>
        </w:tc>
        <w:tc>
          <w:tcPr>
            <w:tcW w:w="864" w:type="dxa"/>
          </w:tcPr>
          <w:p w14:paraId="484FD6D3" w14:textId="77777777" w:rsidR="00E111F3" w:rsidRPr="00A57F4B" w:rsidRDefault="00E111F3" w:rsidP="00A57F4B">
            <w:pPr>
              <w:pStyle w:val="VCAAtablecondensedheading"/>
              <w:rPr>
                <w:lang w:val="en-AU"/>
              </w:rPr>
            </w:pPr>
            <w:r w:rsidRPr="00A57F4B">
              <w:rPr>
                <w:lang w:val="en-AU"/>
              </w:rPr>
              <w:t>2</w:t>
            </w:r>
          </w:p>
        </w:tc>
        <w:tc>
          <w:tcPr>
            <w:tcW w:w="864" w:type="dxa"/>
          </w:tcPr>
          <w:p w14:paraId="39F13BBD" w14:textId="77777777" w:rsidR="00E111F3" w:rsidRPr="00A57F4B" w:rsidRDefault="00E111F3" w:rsidP="00A57F4B">
            <w:pPr>
              <w:pStyle w:val="VCAAtablecondensedheading"/>
              <w:rPr>
                <w:lang w:val="en-AU"/>
              </w:rPr>
            </w:pPr>
            <w:r w:rsidRPr="00A57F4B">
              <w:rPr>
                <w:lang w:val="en-AU"/>
              </w:rPr>
              <w:t>3</w:t>
            </w:r>
          </w:p>
        </w:tc>
        <w:tc>
          <w:tcPr>
            <w:tcW w:w="864" w:type="dxa"/>
          </w:tcPr>
          <w:p w14:paraId="768D8864" w14:textId="77777777" w:rsidR="00E111F3" w:rsidRPr="00A57F4B" w:rsidRDefault="00E111F3" w:rsidP="00A57F4B">
            <w:pPr>
              <w:pStyle w:val="VCAAtablecondensedheading"/>
              <w:rPr>
                <w:lang w:val="en-AU"/>
              </w:rPr>
            </w:pPr>
            <w:r w:rsidRPr="00A57F4B">
              <w:rPr>
                <w:lang w:val="en-AU"/>
              </w:rPr>
              <w:t>4</w:t>
            </w:r>
          </w:p>
        </w:tc>
        <w:tc>
          <w:tcPr>
            <w:tcW w:w="864" w:type="dxa"/>
          </w:tcPr>
          <w:p w14:paraId="2EB65027" w14:textId="77777777" w:rsidR="00E111F3" w:rsidRPr="00A57F4B" w:rsidRDefault="00E111F3" w:rsidP="00A57F4B">
            <w:pPr>
              <w:pStyle w:val="VCAAtablecondensedheading"/>
              <w:rPr>
                <w:lang w:val="en-AU"/>
              </w:rPr>
            </w:pPr>
            <w:r w:rsidRPr="00A57F4B">
              <w:rPr>
                <w:lang w:val="en-AU"/>
              </w:rPr>
              <w:t>5</w:t>
            </w:r>
          </w:p>
        </w:tc>
        <w:tc>
          <w:tcPr>
            <w:tcW w:w="864" w:type="dxa"/>
          </w:tcPr>
          <w:p w14:paraId="232DAA55" w14:textId="77777777" w:rsidR="00E111F3" w:rsidRPr="00A57F4B" w:rsidRDefault="00E111F3" w:rsidP="00A57F4B">
            <w:pPr>
              <w:pStyle w:val="VCAAtablecondensedheading"/>
              <w:rPr>
                <w:lang w:val="en-AU"/>
              </w:rPr>
            </w:pPr>
            <w:r w:rsidRPr="00A57F4B">
              <w:rPr>
                <w:lang w:val="en-AU"/>
              </w:rPr>
              <w:t>6</w:t>
            </w:r>
          </w:p>
        </w:tc>
        <w:tc>
          <w:tcPr>
            <w:tcW w:w="864" w:type="dxa"/>
          </w:tcPr>
          <w:p w14:paraId="29EC4144" w14:textId="77777777" w:rsidR="00E111F3" w:rsidRPr="00A57F4B" w:rsidRDefault="00E111F3" w:rsidP="00A57F4B">
            <w:pPr>
              <w:pStyle w:val="VCAAtablecondensedheading"/>
              <w:rPr>
                <w:lang w:val="en-AU"/>
              </w:rPr>
            </w:pPr>
            <w:r w:rsidRPr="00A57F4B">
              <w:rPr>
                <w:lang w:val="en-AU"/>
              </w:rPr>
              <w:t>Average</w:t>
            </w:r>
          </w:p>
        </w:tc>
      </w:tr>
      <w:tr w:rsidR="00E111F3" w:rsidRPr="00A57F4B" w14:paraId="48B721A4" w14:textId="77777777" w:rsidTr="007838F5">
        <w:trPr>
          <w:trHeight w:hRule="exact" w:val="397"/>
        </w:trPr>
        <w:tc>
          <w:tcPr>
            <w:tcW w:w="864" w:type="dxa"/>
          </w:tcPr>
          <w:p w14:paraId="33169591" w14:textId="77777777" w:rsidR="00E111F3" w:rsidRPr="00A57F4B" w:rsidRDefault="00E111F3" w:rsidP="00A57F4B">
            <w:pPr>
              <w:pStyle w:val="VCAAtablecondensed"/>
              <w:rPr>
                <w:lang w:val="en-AU"/>
              </w:rPr>
            </w:pPr>
            <w:r w:rsidRPr="00A57F4B">
              <w:rPr>
                <w:lang w:val="en-AU"/>
              </w:rPr>
              <w:t>%</w:t>
            </w:r>
          </w:p>
        </w:tc>
        <w:tc>
          <w:tcPr>
            <w:tcW w:w="864" w:type="dxa"/>
            <w:vAlign w:val="center"/>
          </w:tcPr>
          <w:p w14:paraId="0474A7BB" w14:textId="1866C087" w:rsidR="00E111F3" w:rsidRPr="00A57F4B" w:rsidRDefault="00BB709D" w:rsidP="00A57F4B">
            <w:pPr>
              <w:pStyle w:val="VCAAtablecondensedheading"/>
              <w:rPr>
                <w:color w:val="000000" w:themeColor="text1"/>
                <w:lang w:val="en-AU"/>
              </w:rPr>
            </w:pPr>
            <w:r w:rsidRPr="00A57F4B">
              <w:rPr>
                <w:color w:val="000000" w:themeColor="text1"/>
                <w:lang w:val="en-AU"/>
              </w:rPr>
              <w:t>4</w:t>
            </w:r>
          </w:p>
        </w:tc>
        <w:tc>
          <w:tcPr>
            <w:tcW w:w="864" w:type="dxa"/>
            <w:vAlign w:val="center"/>
          </w:tcPr>
          <w:p w14:paraId="0A53726D" w14:textId="7B900FF4" w:rsidR="00E111F3" w:rsidRPr="00A57F4B" w:rsidRDefault="00BB709D" w:rsidP="00A57F4B">
            <w:pPr>
              <w:pStyle w:val="VCAAtablecondensedheading"/>
              <w:rPr>
                <w:color w:val="000000" w:themeColor="text1"/>
                <w:lang w:val="en-AU"/>
              </w:rPr>
            </w:pPr>
            <w:r w:rsidRPr="00A57F4B">
              <w:rPr>
                <w:color w:val="000000" w:themeColor="text1"/>
                <w:lang w:val="en-AU"/>
              </w:rPr>
              <w:t>8</w:t>
            </w:r>
          </w:p>
        </w:tc>
        <w:tc>
          <w:tcPr>
            <w:tcW w:w="864" w:type="dxa"/>
            <w:vAlign w:val="center"/>
          </w:tcPr>
          <w:p w14:paraId="3E5969A2" w14:textId="0D4386A5" w:rsidR="00E111F3" w:rsidRPr="00A57F4B" w:rsidRDefault="00BB709D" w:rsidP="00A57F4B">
            <w:pPr>
              <w:pStyle w:val="VCAAtablecondensedheading"/>
              <w:rPr>
                <w:color w:val="000000" w:themeColor="text1"/>
                <w:lang w:val="en-AU"/>
              </w:rPr>
            </w:pPr>
            <w:r w:rsidRPr="00A57F4B">
              <w:rPr>
                <w:color w:val="000000" w:themeColor="text1"/>
                <w:lang w:val="en-AU"/>
              </w:rPr>
              <w:t>17</w:t>
            </w:r>
          </w:p>
        </w:tc>
        <w:tc>
          <w:tcPr>
            <w:tcW w:w="864" w:type="dxa"/>
          </w:tcPr>
          <w:p w14:paraId="073641DF" w14:textId="55065713" w:rsidR="00E111F3" w:rsidRPr="00A57F4B" w:rsidRDefault="00BB709D" w:rsidP="00A57F4B">
            <w:pPr>
              <w:pStyle w:val="VCAAtablecondensedheading"/>
              <w:rPr>
                <w:color w:val="000000" w:themeColor="text1"/>
                <w:lang w:val="en-AU"/>
              </w:rPr>
            </w:pPr>
            <w:r w:rsidRPr="00A57F4B">
              <w:rPr>
                <w:color w:val="000000" w:themeColor="text1"/>
                <w:lang w:val="en-AU"/>
              </w:rPr>
              <w:t>29</w:t>
            </w:r>
          </w:p>
        </w:tc>
        <w:tc>
          <w:tcPr>
            <w:tcW w:w="864" w:type="dxa"/>
          </w:tcPr>
          <w:p w14:paraId="4789CF91" w14:textId="348F675C" w:rsidR="00E111F3" w:rsidRPr="00A57F4B" w:rsidRDefault="00BB709D" w:rsidP="00A57F4B">
            <w:pPr>
              <w:pStyle w:val="VCAAtablecondensedheading"/>
              <w:rPr>
                <w:color w:val="000000" w:themeColor="text1"/>
                <w:lang w:val="en-AU"/>
              </w:rPr>
            </w:pPr>
            <w:r w:rsidRPr="00A57F4B">
              <w:rPr>
                <w:color w:val="000000" w:themeColor="text1"/>
                <w:lang w:val="en-AU"/>
              </w:rPr>
              <w:t>22</w:t>
            </w:r>
          </w:p>
        </w:tc>
        <w:tc>
          <w:tcPr>
            <w:tcW w:w="864" w:type="dxa"/>
          </w:tcPr>
          <w:p w14:paraId="0CECD96D" w14:textId="625026F3" w:rsidR="00E111F3" w:rsidRPr="00A57F4B" w:rsidRDefault="00BB709D" w:rsidP="00A57F4B">
            <w:pPr>
              <w:pStyle w:val="VCAAtablecondensedheading"/>
              <w:rPr>
                <w:color w:val="000000" w:themeColor="text1"/>
                <w:lang w:val="en-AU"/>
              </w:rPr>
            </w:pPr>
            <w:r w:rsidRPr="00A57F4B">
              <w:rPr>
                <w:color w:val="000000" w:themeColor="text1"/>
                <w:lang w:val="en-AU"/>
              </w:rPr>
              <w:t>13</w:t>
            </w:r>
          </w:p>
        </w:tc>
        <w:tc>
          <w:tcPr>
            <w:tcW w:w="864" w:type="dxa"/>
          </w:tcPr>
          <w:p w14:paraId="755DE5B7" w14:textId="552ADB2F" w:rsidR="00E111F3" w:rsidRPr="00A57F4B" w:rsidRDefault="00BB709D" w:rsidP="00A57F4B">
            <w:pPr>
              <w:pStyle w:val="VCAAtablecondensedheading"/>
              <w:rPr>
                <w:color w:val="000000" w:themeColor="text1"/>
                <w:lang w:val="en-AU"/>
              </w:rPr>
            </w:pPr>
            <w:r w:rsidRPr="00A57F4B">
              <w:rPr>
                <w:color w:val="000000" w:themeColor="text1"/>
                <w:lang w:val="en-AU"/>
              </w:rPr>
              <w:t>7</w:t>
            </w:r>
          </w:p>
        </w:tc>
        <w:tc>
          <w:tcPr>
            <w:tcW w:w="864" w:type="dxa"/>
          </w:tcPr>
          <w:p w14:paraId="2E428362" w14:textId="219B1953" w:rsidR="00E111F3" w:rsidRPr="00A57F4B" w:rsidRDefault="00FF4192" w:rsidP="00A57F4B">
            <w:pPr>
              <w:pStyle w:val="VCAAtablecondensedheading"/>
              <w:rPr>
                <w:color w:val="000000" w:themeColor="text1"/>
                <w:lang w:val="en-AU"/>
              </w:rPr>
            </w:pPr>
            <w:r>
              <w:rPr>
                <w:color w:val="000000" w:themeColor="text1"/>
                <w:lang w:val="en-AU"/>
              </w:rPr>
              <w:t>3</w:t>
            </w:r>
            <w:r w:rsidR="00BB709D" w:rsidRPr="00A57F4B">
              <w:rPr>
                <w:color w:val="000000" w:themeColor="text1"/>
                <w:lang w:val="en-AU"/>
              </w:rPr>
              <w:t>.2</w:t>
            </w:r>
          </w:p>
        </w:tc>
      </w:tr>
    </w:tbl>
    <w:p w14:paraId="00EBC05A" w14:textId="43ABAA21" w:rsidR="00211625" w:rsidRPr="00A57F4B" w:rsidRDefault="00C2507C" w:rsidP="00211625">
      <w:pPr>
        <w:pStyle w:val="VCAAbody"/>
        <w:rPr>
          <w:lang w:val="en-AU"/>
        </w:rPr>
      </w:pPr>
      <w:r w:rsidRPr="00A57F4B">
        <w:rPr>
          <w:lang w:val="en-AU"/>
        </w:rPr>
        <w:t>Question 4d</w:t>
      </w:r>
      <w:r w:rsidR="00377147" w:rsidRPr="00A57F4B">
        <w:rPr>
          <w:lang w:val="en-AU"/>
        </w:rPr>
        <w:t>.</w:t>
      </w:r>
      <w:r w:rsidRPr="00A57F4B">
        <w:rPr>
          <w:lang w:val="en-AU"/>
        </w:rPr>
        <w:t xml:space="preserve"> asked students to use Source 16 and their own knowledge to explain the change in perspective about Australian involvement in the Vietnam War. Many students approached the response chronologically</w:t>
      </w:r>
      <w:r w:rsidR="00446276" w:rsidRPr="00A57F4B">
        <w:rPr>
          <w:lang w:val="en-AU"/>
        </w:rPr>
        <w:t>;</w:t>
      </w:r>
      <w:r w:rsidRPr="00A57F4B">
        <w:rPr>
          <w:lang w:val="en-AU"/>
        </w:rPr>
        <w:t xml:space="preserve"> other students effectively analysed Source 16 and then reflected on how this attitude/perspective about involvement changed. </w:t>
      </w:r>
      <w:r w:rsidR="00211625" w:rsidRPr="00A57F4B">
        <w:rPr>
          <w:lang w:val="en-AU"/>
        </w:rPr>
        <w:t>However, many responses focused more on attitudes towards conscription rather than participation in the conflict more broadly</w:t>
      </w:r>
      <w:r w:rsidR="00446276" w:rsidRPr="00A57F4B">
        <w:rPr>
          <w:lang w:val="en-AU"/>
        </w:rPr>
        <w:t>.</w:t>
      </w:r>
    </w:p>
    <w:p w14:paraId="36525F1F" w14:textId="290732B2" w:rsidR="00C2507C" w:rsidRPr="00A57F4B" w:rsidRDefault="00C2507C" w:rsidP="00C2507C">
      <w:pPr>
        <w:pStyle w:val="VCAAbody"/>
        <w:rPr>
          <w:lang w:val="en-AU"/>
        </w:rPr>
      </w:pPr>
      <w:r w:rsidRPr="00A57F4B">
        <w:rPr>
          <w:lang w:val="en-AU"/>
        </w:rPr>
        <w:t xml:space="preserve">The following is an example of a </w:t>
      </w:r>
      <w:r w:rsidR="00B45781" w:rsidRPr="00A57F4B">
        <w:rPr>
          <w:lang w:val="en-AU"/>
        </w:rPr>
        <w:t>mid-range</w:t>
      </w:r>
      <w:r w:rsidRPr="00A57F4B">
        <w:rPr>
          <w:lang w:val="en-AU"/>
        </w:rPr>
        <w:t xml:space="preserve"> response that fulfilled the demands of the question and responded chronologically</w:t>
      </w:r>
      <w:r w:rsidR="00211625" w:rsidRPr="00A57F4B">
        <w:rPr>
          <w:lang w:val="en-AU"/>
        </w:rPr>
        <w:t xml:space="preserve">, despite the erroneous use of the songs </w:t>
      </w:r>
      <w:r w:rsidR="007F2EF4" w:rsidRPr="00A57F4B">
        <w:rPr>
          <w:lang w:val="en-AU"/>
        </w:rPr>
        <w:t>‘</w:t>
      </w:r>
      <w:r w:rsidR="00211625" w:rsidRPr="00A57F4B">
        <w:rPr>
          <w:lang w:val="en-AU"/>
        </w:rPr>
        <w:t>I was only 19</w:t>
      </w:r>
      <w:r w:rsidR="007F2EF4" w:rsidRPr="00A57F4B">
        <w:rPr>
          <w:lang w:val="en-AU"/>
        </w:rPr>
        <w:t>’</w:t>
      </w:r>
      <w:r w:rsidR="00211625" w:rsidRPr="00A57F4B">
        <w:rPr>
          <w:lang w:val="en-AU"/>
        </w:rPr>
        <w:t xml:space="preserve"> and </w:t>
      </w:r>
      <w:r w:rsidR="007F2EF4" w:rsidRPr="00A57F4B">
        <w:rPr>
          <w:lang w:val="en-AU"/>
        </w:rPr>
        <w:t>‘</w:t>
      </w:r>
      <w:proofErr w:type="spellStart"/>
      <w:r w:rsidR="00211625" w:rsidRPr="00A57F4B">
        <w:rPr>
          <w:lang w:val="en-AU"/>
        </w:rPr>
        <w:t>Khe</w:t>
      </w:r>
      <w:proofErr w:type="spellEnd"/>
      <w:r w:rsidR="00211625" w:rsidRPr="00A57F4B">
        <w:rPr>
          <w:lang w:val="en-AU"/>
        </w:rPr>
        <w:t xml:space="preserve"> </w:t>
      </w:r>
      <w:proofErr w:type="spellStart"/>
      <w:r w:rsidR="00211625" w:rsidRPr="00A57F4B">
        <w:rPr>
          <w:lang w:val="en-AU"/>
        </w:rPr>
        <w:t>Sanh</w:t>
      </w:r>
      <w:proofErr w:type="spellEnd"/>
      <w:r w:rsidR="007F2EF4" w:rsidRPr="00A57F4B">
        <w:rPr>
          <w:lang w:val="en-AU"/>
        </w:rPr>
        <w:t>’,</w:t>
      </w:r>
      <w:r w:rsidR="00211625" w:rsidRPr="00A57F4B">
        <w:rPr>
          <w:lang w:val="en-AU"/>
        </w:rPr>
        <w:t xml:space="preserve"> which were both released following the conclusion of the Vietnam War</w:t>
      </w:r>
      <w:r w:rsidRPr="00A57F4B">
        <w:rPr>
          <w:lang w:val="en-AU"/>
        </w:rPr>
        <w:t>:</w:t>
      </w:r>
    </w:p>
    <w:p w14:paraId="2550B54B" w14:textId="09AA2BEF" w:rsidR="00211625" w:rsidRPr="00A57F4B" w:rsidRDefault="00C2507C" w:rsidP="00262870">
      <w:pPr>
        <w:pStyle w:val="VCAAstudentexample"/>
        <w:ind w:left="284"/>
      </w:pPr>
      <w:r w:rsidRPr="00A57F4B">
        <w:t xml:space="preserve">Initially, Australia’s involvement in Vietnam was widely supported. </w:t>
      </w:r>
      <w:r w:rsidR="00211625" w:rsidRPr="00A57F4B">
        <w:t>To ensure our alliance with the US, under ANZUS (1951) and SEATO (1954), Australia committed itself to combat Eisenhower’s “domino Theory”.</w:t>
      </w:r>
    </w:p>
    <w:p w14:paraId="6EECA731" w14:textId="589E7D0B" w:rsidR="00211625" w:rsidRPr="00A57F4B" w:rsidRDefault="00211625" w:rsidP="00C2507C">
      <w:pPr>
        <w:pStyle w:val="VCAAbody"/>
        <w:rPr>
          <w:lang w:val="en-AU"/>
        </w:rPr>
      </w:pPr>
      <w:r w:rsidRPr="00A57F4B">
        <w:rPr>
          <w:lang w:val="en-AU"/>
        </w:rPr>
        <w:t>This was an important sentence, as it helps to establish the degree to which perspectives about Australian involvement in the conflict has shifted.</w:t>
      </w:r>
    </w:p>
    <w:p w14:paraId="2BE40FA1" w14:textId="77777777" w:rsidR="009C7977" w:rsidRPr="00A57F4B" w:rsidRDefault="00C2507C" w:rsidP="00262870">
      <w:pPr>
        <w:pStyle w:val="VCAAstudentexample"/>
        <w:ind w:left="284"/>
      </w:pPr>
      <w:r w:rsidRPr="00A57F4B">
        <w:t xml:space="preserve">However, the “TV War” as it became known, resulted in a change of public opinion. “It was the novelty of seeing the war, that lead many to oppose it”. (Paul Ham) Organisations against conscription such as the SOS and the National Service Act of 1951 saw a “different form of protest” (Caulfield) of “mothers of sons </w:t>
      </w:r>
      <w:proofErr w:type="gramStart"/>
      <w:r w:rsidRPr="00A57F4B">
        <w:t>…..</w:t>
      </w:r>
      <w:proofErr w:type="gramEnd"/>
      <w:r w:rsidRPr="00A57F4B">
        <w:t xml:space="preserve">who feel that the conscription of under-age boys for overseas service is morally wrong” (Source 16). </w:t>
      </w:r>
      <w:r w:rsidRPr="00A57F4B">
        <w:lastRenderedPageBreak/>
        <w:t>The influence of the SOS, Moratorium movements and media, and prominent songs of the time: “I was only 19” and “</w:t>
      </w:r>
      <w:proofErr w:type="spellStart"/>
      <w:r w:rsidRPr="00A57F4B">
        <w:t>Khe</w:t>
      </w:r>
      <w:proofErr w:type="spellEnd"/>
      <w:r w:rsidRPr="00A57F4B">
        <w:t xml:space="preserve"> </w:t>
      </w:r>
      <w:proofErr w:type="spellStart"/>
      <w:r w:rsidRPr="00A57F4B">
        <w:t>Sahn</w:t>
      </w:r>
      <w:proofErr w:type="spellEnd"/>
      <w:r w:rsidRPr="00A57F4B">
        <w:t xml:space="preserve">” helped to turn public opinion against a war “which has been described as a bottomless pit of violence and horror.” (Source 16) What was initially a fight to “give the reds a thrashing” (Menzies) and protect Australia from a “doctrine void of spiritual content” (Menzies) turned to a humanitarian crisis for all Australians and Vietnamese. </w:t>
      </w:r>
    </w:p>
    <w:p w14:paraId="58249986" w14:textId="3A5014A9" w:rsidR="005566E0" w:rsidRPr="00A57F4B" w:rsidRDefault="005566E0" w:rsidP="005566E0">
      <w:pPr>
        <w:pStyle w:val="VCAAHeading3"/>
        <w:rPr>
          <w:lang w:val="en-AU"/>
        </w:rPr>
      </w:pPr>
      <w:r w:rsidRPr="00A57F4B">
        <w:rPr>
          <w:lang w:val="en-AU"/>
        </w:rPr>
        <w:t>Question 4e.</w:t>
      </w:r>
    </w:p>
    <w:tbl>
      <w:tblPr>
        <w:tblStyle w:val="VCAATableClosed"/>
        <w:tblW w:w="9360" w:type="dxa"/>
        <w:tblLook w:val="01E0" w:firstRow="1" w:lastRow="1" w:firstColumn="1" w:lastColumn="1" w:noHBand="0" w:noVBand="0"/>
      </w:tblPr>
      <w:tblGrid>
        <w:gridCol w:w="720"/>
        <w:gridCol w:w="706"/>
        <w:gridCol w:w="706"/>
        <w:gridCol w:w="706"/>
        <w:gridCol w:w="708"/>
        <w:gridCol w:w="708"/>
        <w:gridCol w:w="708"/>
        <w:gridCol w:w="708"/>
        <w:gridCol w:w="708"/>
        <w:gridCol w:w="705"/>
        <w:gridCol w:w="705"/>
        <w:gridCol w:w="708"/>
        <w:gridCol w:w="864"/>
      </w:tblGrid>
      <w:tr w:rsidR="00C20A13" w:rsidRPr="00A57F4B" w14:paraId="1E88986B"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C3BCFAF" w14:textId="77777777" w:rsidR="00C20A13" w:rsidRPr="00A57F4B" w:rsidRDefault="00C20A13" w:rsidP="00A57F4B">
            <w:pPr>
              <w:pStyle w:val="VCAAtablecondensedheading"/>
              <w:rPr>
                <w:lang w:val="en-AU"/>
              </w:rPr>
            </w:pPr>
            <w:r w:rsidRPr="00A57F4B">
              <w:rPr>
                <w:lang w:val="en-AU"/>
              </w:rPr>
              <w:t>Marks</w:t>
            </w:r>
          </w:p>
        </w:tc>
        <w:tc>
          <w:tcPr>
            <w:tcW w:w="720" w:type="dxa"/>
          </w:tcPr>
          <w:p w14:paraId="3D9B31E2" w14:textId="77777777" w:rsidR="00C20A13" w:rsidRPr="00A57F4B" w:rsidRDefault="00C20A13" w:rsidP="00A57F4B">
            <w:pPr>
              <w:pStyle w:val="VCAAtablecondensedheading"/>
              <w:rPr>
                <w:lang w:val="en-AU"/>
              </w:rPr>
            </w:pPr>
            <w:r w:rsidRPr="00A57F4B">
              <w:rPr>
                <w:lang w:val="en-AU"/>
              </w:rPr>
              <w:t>0</w:t>
            </w:r>
          </w:p>
        </w:tc>
        <w:tc>
          <w:tcPr>
            <w:tcW w:w="720" w:type="dxa"/>
          </w:tcPr>
          <w:p w14:paraId="05D5859E" w14:textId="77777777" w:rsidR="00C20A13" w:rsidRPr="00A57F4B" w:rsidRDefault="00C20A13" w:rsidP="00A57F4B">
            <w:pPr>
              <w:pStyle w:val="VCAAtablecondensedheading"/>
              <w:rPr>
                <w:lang w:val="en-AU"/>
              </w:rPr>
            </w:pPr>
            <w:r w:rsidRPr="00A57F4B">
              <w:rPr>
                <w:lang w:val="en-AU"/>
              </w:rPr>
              <w:t>1</w:t>
            </w:r>
          </w:p>
        </w:tc>
        <w:tc>
          <w:tcPr>
            <w:tcW w:w="720" w:type="dxa"/>
          </w:tcPr>
          <w:p w14:paraId="6B73C20E" w14:textId="77777777" w:rsidR="00C20A13" w:rsidRPr="00A57F4B" w:rsidRDefault="00C20A13" w:rsidP="00A57F4B">
            <w:pPr>
              <w:pStyle w:val="VCAAtablecondensedheading"/>
              <w:rPr>
                <w:lang w:val="en-AU"/>
              </w:rPr>
            </w:pPr>
            <w:r w:rsidRPr="00A57F4B">
              <w:rPr>
                <w:lang w:val="en-AU"/>
              </w:rPr>
              <w:t>2</w:t>
            </w:r>
          </w:p>
        </w:tc>
        <w:tc>
          <w:tcPr>
            <w:tcW w:w="720" w:type="dxa"/>
          </w:tcPr>
          <w:p w14:paraId="52E8941D" w14:textId="77777777" w:rsidR="00C20A13" w:rsidRPr="00A57F4B" w:rsidRDefault="00C20A13" w:rsidP="00A57F4B">
            <w:pPr>
              <w:pStyle w:val="VCAAtablecondensedheading"/>
              <w:rPr>
                <w:lang w:val="en-AU"/>
              </w:rPr>
            </w:pPr>
            <w:r w:rsidRPr="00A57F4B">
              <w:rPr>
                <w:lang w:val="en-AU"/>
              </w:rPr>
              <w:t>3</w:t>
            </w:r>
          </w:p>
        </w:tc>
        <w:tc>
          <w:tcPr>
            <w:tcW w:w="720" w:type="dxa"/>
          </w:tcPr>
          <w:p w14:paraId="3F86EE48" w14:textId="77777777" w:rsidR="00C20A13" w:rsidRPr="00A57F4B" w:rsidRDefault="00C20A13" w:rsidP="00A57F4B">
            <w:pPr>
              <w:pStyle w:val="VCAAtablecondensedheading"/>
              <w:rPr>
                <w:lang w:val="en-AU"/>
              </w:rPr>
            </w:pPr>
            <w:r w:rsidRPr="00A57F4B">
              <w:rPr>
                <w:lang w:val="en-AU"/>
              </w:rPr>
              <w:t>4</w:t>
            </w:r>
          </w:p>
        </w:tc>
        <w:tc>
          <w:tcPr>
            <w:tcW w:w="720" w:type="dxa"/>
          </w:tcPr>
          <w:p w14:paraId="36702084" w14:textId="77777777" w:rsidR="00C20A13" w:rsidRPr="00A57F4B" w:rsidRDefault="00C20A13" w:rsidP="00A57F4B">
            <w:pPr>
              <w:pStyle w:val="VCAAtablecondensedheading"/>
              <w:rPr>
                <w:lang w:val="en-AU"/>
              </w:rPr>
            </w:pPr>
            <w:r w:rsidRPr="00A57F4B">
              <w:rPr>
                <w:lang w:val="en-AU"/>
              </w:rPr>
              <w:t>5</w:t>
            </w:r>
          </w:p>
        </w:tc>
        <w:tc>
          <w:tcPr>
            <w:tcW w:w="720" w:type="dxa"/>
          </w:tcPr>
          <w:p w14:paraId="069C3210" w14:textId="77777777" w:rsidR="00C20A13" w:rsidRPr="00A57F4B" w:rsidRDefault="00C20A13" w:rsidP="00A57F4B">
            <w:pPr>
              <w:pStyle w:val="VCAAtablecondensedheading"/>
              <w:rPr>
                <w:lang w:val="en-AU"/>
              </w:rPr>
            </w:pPr>
            <w:r w:rsidRPr="00A57F4B">
              <w:rPr>
                <w:lang w:val="en-AU"/>
              </w:rPr>
              <w:t>6</w:t>
            </w:r>
          </w:p>
        </w:tc>
        <w:tc>
          <w:tcPr>
            <w:tcW w:w="720" w:type="dxa"/>
          </w:tcPr>
          <w:p w14:paraId="31393594" w14:textId="77777777" w:rsidR="00C20A13" w:rsidRPr="00A57F4B" w:rsidRDefault="00C20A13" w:rsidP="00A57F4B">
            <w:pPr>
              <w:pStyle w:val="VCAAtablecondensedheading"/>
              <w:rPr>
                <w:lang w:val="en-AU"/>
              </w:rPr>
            </w:pPr>
            <w:r w:rsidRPr="00A57F4B">
              <w:rPr>
                <w:lang w:val="en-AU"/>
              </w:rPr>
              <w:t>7</w:t>
            </w:r>
          </w:p>
        </w:tc>
        <w:tc>
          <w:tcPr>
            <w:tcW w:w="720" w:type="dxa"/>
          </w:tcPr>
          <w:p w14:paraId="7AC93738" w14:textId="77777777" w:rsidR="00C20A13" w:rsidRPr="00A57F4B" w:rsidRDefault="00C20A13" w:rsidP="00A57F4B">
            <w:pPr>
              <w:pStyle w:val="VCAAtablecondensedheading"/>
              <w:rPr>
                <w:lang w:val="en-AU"/>
              </w:rPr>
            </w:pPr>
            <w:r w:rsidRPr="00A57F4B">
              <w:rPr>
                <w:lang w:val="en-AU"/>
              </w:rPr>
              <w:t>8</w:t>
            </w:r>
          </w:p>
        </w:tc>
        <w:tc>
          <w:tcPr>
            <w:tcW w:w="720" w:type="dxa"/>
          </w:tcPr>
          <w:p w14:paraId="145851FD" w14:textId="77777777" w:rsidR="00C20A13" w:rsidRPr="00A57F4B" w:rsidRDefault="00C20A13" w:rsidP="00A57F4B">
            <w:pPr>
              <w:pStyle w:val="VCAAtablecondensedheading"/>
              <w:rPr>
                <w:lang w:val="en-AU"/>
              </w:rPr>
            </w:pPr>
            <w:r w:rsidRPr="00A57F4B">
              <w:rPr>
                <w:lang w:val="en-AU"/>
              </w:rPr>
              <w:t>9</w:t>
            </w:r>
          </w:p>
        </w:tc>
        <w:tc>
          <w:tcPr>
            <w:tcW w:w="720" w:type="dxa"/>
          </w:tcPr>
          <w:p w14:paraId="1B4E0717" w14:textId="77777777" w:rsidR="00C20A13" w:rsidRPr="00A57F4B" w:rsidRDefault="00C20A13" w:rsidP="00A57F4B">
            <w:pPr>
              <w:pStyle w:val="VCAAtablecondensedheading"/>
              <w:rPr>
                <w:lang w:val="en-AU"/>
              </w:rPr>
            </w:pPr>
            <w:r w:rsidRPr="00A57F4B">
              <w:rPr>
                <w:lang w:val="en-AU"/>
              </w:rPr>
              <w:t>10</w:t>
            </w:r>
          </w:p>
        </w:tc>
        <w:tc>
          <w:tcPr>
            <w:tcW w:w="720" w:type="dxa"/>
          </w:tcPr>
          <w:p w14:paraId="1B72CF54" w14:textId="77777777" w:rsidR="00C20A13" w:rsidRPr="00A57F4B" w:rsidRDefault="00C20A13" w:rsidP="00A57F4B">
            <w:pPr>
              <w:pStyle w:val="VCAAtablecondensedheading"/>
              <w:rPr>
                <w:lang w:val="en-AU"/>
              </w:rPr>
            </w:pPr>
            <w:r w:rsidRPr="00A57F4B">
              <w:rPr>
                <w:lang w:val="en-AU"/>
              </w:rPr>
              <w:t>Average</w:t>
            </w:r>
          </w:p>
        </w:tc>
      </w:tr>
      <w:tr w:rsidR="00C20A13" w:rsidRPr="00A57F4B" w14:paraId="4A333D50" w14:textId="77777777" w:rsidTr="007838F5">
        <w:trPr>
          <w:trHeight w:hRule="exact" w:val="397"/>
        </w:trPr>
        <w:tc>
          <w:tcPr>
            <w:tcW w:w="720" w:type="dxa"/>
          </w:tcPr>
          <w:p w14:paraId="794BFE9C" w14:textId="77777777" w:rsidR="00C20A13" w:rsidRPr="00A57F4B" w:rsidRDefault="00C20A13" w:rsidP="00A57F4B">
            <w:pPr>
              <w:pStyle w:val="VCAAtablecondensed"/>
              <w:rPr>
                <w:lang w:val="en-AU"/>
              </w:rPr>
            </w:pPr>
            <w:r w:rsidRPr="00A57F4B">
              <w:rPr>
                <w:lang w:val="en-AU"/>
              </w:rPr>
              <w:t>%</w:t>
            </w:r>
          </w:p>
        </w:tc>
        <w:tc>
          <w:tcPr>
            <w:tcW w:w="720" w:type="dxa"/>
            <w:vAlign w:val="center"/>
          </w:tcPr>
          <w:p w14:paraId="73739A49" w14:textId="4F5E2DAA" w:rsidR="00C20A13" w:rsidRPr="00A57F4B" w:rsidRDefault="00BB709D" w:rsidP="00A57F4B">
            <w:pPr>
              <w:pStyle w:val="VCAAtablecondensedheading"/>
              <w:rPr>
                <w:color w:val="000000" w:themeColor="text1"/>
                <w:lang w:val="en-AU"/>
              </w:rPr>
            </w:pPr>
            <w:r w:rsidRPr="00A57F4B">
              <w:rPr>
                <w:color w:val="000000" w:themeColor="text1"/>
                <w:lang w:val="en-AU"/>
              </w:rPr>
              <w:t>8</w:t>
            </w:r>
          </w:p>
        </w:tc>
        <w:tc>
          <w:tcPr>
            <w:tcW w:w="720" w:type="dxa"/>
            <w:vAlign w:val="center"/>
          </w:tcPr>
          <w:p w14:paraId="34F2C6D9" w14:textId="3D6BC505" w:rsidR="00C20A13" w:rsidRPr="00A57F4B" w:rsidRDefault="00BB709D" w:rsidP="00A57F4B">
            <w:pPr>
              <w:pStyle w:val="VCAAtablecondensedheading"/>
              <w:rPr>
                <w:color w:val="000000" w:themeColor="text1"/>
                <w:lang w:val="en-AU"/>
              </w:rPr>
            </w:pPr>
            <w:r w:rsidRPr="00A57F4B">
              <w:rPr>
                <w:color w:val="000000" w:themeColor="text1"/>
                <w:lang w:val="en-AU"/>
              </w:rPr>
              <w:t>5</w:t>
            </w:r>
          </w:p>
        </w:tc>
        <w:tc>
          <w:tcPr>
            <w:tcW w:w="720" w:type="dxa"/>
            <w:vAlign w:val="center"/>
          </w:tcPr>
          <w:p w14:paraId="60C35510" w14:textId="248D8E1A" w:rsidR="00C20A13" w:rsidRPr="00A57F4B" w:rsidRDefault="00BB709D" w:rsidP="00A57F4B">
            <w:pPr>
              <w:pStyle w:val="VCAAtablecondensedheading"/>
              <w:rPr>
                <w:color w:val="000000" w:themeColor="text1"/>
                <w:lang w:val="en-AU"/>
              </w:rPr>
            </w:pPr>
            <w:r w:rsidRPr="00A57F4B">
              <w:rPr>
                <w:color w:val="000000" w:themeColor="text1"/>
                <w:lang w:val="en-AU"/>
              </w:rPr>
              <w:t>9</w:t>
            </w:r>
          </w:p>
        </w:tc>
        <w:tc>
          <w:tcPr>
            <w:tcW w:w="720" w:type="dxa"/>
          </w:tcPr>
          <w:p w14:paraId="40A325AC" w14:textId="66ABB5CA" w:rsidR="00C20A13" w:rsidRPr="00A57F4B" w:rsidRDefault="00BB709D" w:rsidP="00A57F4B">
            <w:pPr>
              <w:pStyle w:val="VCAAtablecondensedheading"/>
              <w:rPr>
                <w:color w:val="000000" w:themeColor="text1"/>
                <w:lang w:val="en-AU"/>
              </w:rPr>
            </w:pPr>
            <w:r w:rsidRPr="00A57F4B">
              <w:rPr>
                <w:color w:val="000000" w:themeColor="text1"/>
                <w:lang w:val="en-AU"/>
              </w:rPr>
              <w:t>11</w:t>
            </w:r>
          </w:p>
        </w:tc>
        <w:tc>
          <w:tcPr>
            <w:tcW w:w="720" w:type="dxa"/>
          </w:tcPr>
          <w:p w14:paraId="4DE90FAD" w14:textId="4CF1D0BD" w:rsidR="00C20A13" w:rsidRPr="00A57F4B" w:rsidRDefault="00BB709D" w:rsidP="00A57F4B">
            <w:pPr>
              <w:pStyle w:val="VCAAtablecondensedheading"/>
              <w:rPr>
                <w:color w:val="000000" w:themeColor="text1"/>
                <w:lang w:val="en-AU"/>
              </w:rPr>
            </w:pPr>
            <w:r w:rsidRPr="00A57F4B">
              <w:rPr>
                <w:color w:val="000000" w:themeColor="text1"/>
                <w:lang w:val="en-AU"/>
              </w:rPr>
              <w:t>16</w:t>
            </w:r>
          </w:p>
        </w:tc>
        <w:tc>
          <w:tcPr>
            <w:tcW w:w="720" w:type="dxa"/>
          </w:tcPr>
          <w:p w14:paraId="010B31AC" w14:textId="662FDA35" w:rsidR="00C20A13" w:rsidRPr="00A57F4B" w:rsidRDefault="00BB709D" w:rsidP="00A57F4B">
            <w:pPr>
              <w:pStyle w:val="VCAAtablecondensedheading"/>
              <w:rPr>
                <w:color w:val="000000" w:themeColor="text1"/>
                <w:lang w:val="en-AU"/>
              </w:rPr>
            </w:pPr>
            <w:r w:rsidRPr="00A57F4B">
              <w:rPr>
                <w:color w:val="000000" w:themeColor="text1"/>
                <w:lang w:val="en-AU"/>
              </w:rPr>
              <w:t>15</w:t>
            </w:r>
          </w:p>
        </w:tc>
        <w:tc>
          <w:tcPr>
            <w:tcW w:w="720" w:type="dxa"/>
          </w:tcPr>
          <w:p w14:paraId="257D5473" w14:textId="1D4312C9" w:rsidR="00C20A13" w:rsidRPr="00A57F4B" w:rsidRDefault="00BB709D" w:rsidP="00A57F4B">
            <w:pPr>
              <w:pStyle w:val="VCAAtablecondensedheading"/>
              <w:rPr>
                <w:color w:val="000000" w:themeColor="text1"/>
                <w:lang w:val="en-AU"/>
              </w:rPr>
            </w:pPr>
            <w:r w:rsidRPr="00A57F4B">
              <w:rPr>
                <w:color w:val="000000" w:themeColor="text1"/>
                <w:lang w:val="en-AU"/>
              </w:rPr>
              <w:t>14</w:t>
            </w:r>
          </w:p>
        </w:tc>
        <w:tc>
          <w:tcPr>
            <w:tcW w:w="720" w:type="dxa"/>
          </w:tcPr>
          <w:p w14:paraId="541D85C3" w14:textId="6CAD603B" w:rsidR="00C20A13" w:rsidRPr="00A57F4B" w:rsidRDefault="00BB709D" w:rsidP="00A57F4B">
            <w:pPr>
              <w:pStyle w:val="VCAAtablecondensedheading"/>
              <w:rPr>
                <w:color w:val="000000" w:themeColor="text1"/>
                <w:lang w:val="en-AU"/>
              </w:rPr>
            </w:pPr>
            <w:r w:rsidRPr="00A57F4B">
              <w:rPr>
                <w:color w:val="000000" w:themeColor="text1"/>
                <w:lang w:val="en-AU"/>
              </w:rPr>
              <w:t>11</w:t>
            </w:r>
          </w:p>
        </w:tc>
        <w:tc>
          <w:tcPr>
            <w:tcW w:w="720" w:type="dxa"/>
          </w:tcPr>
          <w:p w14:paraId="0BA161D9" w14:textId="32EB1433" w:rsidR="00C20A13" w:rsidRPr="00A57F4B" w:rsidRDefault="00BB709D" w:rsidP="00A57F4B">
            <w:pPr>
              <w:pStyle w:val="VCAAtablecondensedheading"/>
              <w:rPr>
                <w:color w:val="000000" w:themeColor="text1"/>
                <w:lang w:val="en-AU"/>
              </w:rPr>
            </w:pPr>
            <w:r w:rsidRPr="00A57F4B">
              <w:rPr>
                <w:color w:val="000000" w:themeColor="text1"/>
                <w:lang w:val="en-AU"/>
              </w:rPr>
              <w:t>7</w:t>
            </w:r>
          </w:p>
        </w:tc>
        <w:tc>
          <w:tcPr>
            <w:tcW w:w="720" w:type="dxa"/>
          </w:tcPr>
          <w:p w14:paraId="49336F17" w14:textId="7F72BD45" w:rsidR="00C20A13" w:rsidRPr="00A57F4B" w:rsidRDefault="00BB709D" w:rsidP="00A57F4B">
            <w:pPr>
              <w:pStyle w:val="VCAAtablecondensedheading"/>
              <w:rPr>
                <w:color w:val="000000" w:themeColor="text1"/>
                <w:lang w:val="en-AU"/>
              </w:rPr>
            </w:pPr>
            <w:r w:rsidRPr="00A57F4B">
              <w:rPr>
                <w:color w:val="000000" w:themeColor="text1"/>
                <w:lang w:val="en-AU"/>
              </w:rPr>
              <w:t>4</w:t>
            </w:r>
          </w:p>
        </w:tc>
        <w:tc>
          <w:tcPr>
            <w:tcW w:w="720" w:type="dxa"/>
          </w:tcPr>
          <w:p w14:paraId="5539941B" w14:textId="1ADA1520" w:rsidR="00C20A13" w:rsidRPr="00A57F4B" w:rsidRDefault="00BB709D" w:rsidP="00A57F4B">
            <w:pPr>
              <w:pStyle w:val="VCAAtablecondensedheading"/>
              <w:rPr>
                <w:color w:val="000000" w:themeColor="text1"/>
                <w:lang w:val="en-AU"/>
              </w:rPr>
            </w:pPr>
            <w:r w:rsidRPr="00A57F4B">
              <w:rPr>
                <w:color w:val="000000" w:themeColor="text1"/>
                <w:lang w:val="en-AU"/>
              </w:rPr>
              <w:t>1</w:t>
            </w:r>
          </w:p>
        </w:tc>
        <w:tc>
          <w:tcPr>
            <w:tcW w:w="720" w:type="dxa"/>
          </w:tcPr>
          <w:p w14:paraId="1CF3A5FB" w14:textId="6B14B1F9" w:rsidR="00C20A13" w:rsidRPr="00A57F4B" w:rsidRDefault="00BB709D" w:rsidP="00A57F4B">
            <w:pPr>
              <w:pStyle w:val="VCAAtablecondensedheading"/>
              <w:rPr>
                <w:color w:val="000000" w:themeColor="text1"/>
                <w:lang w:val="en-AU"/>
              </w:rPr>
            </w:pPr>
            <w:r w:rsidRPr="00A57F4B">
              <w:rPr>
                <w:color w:val="000000" w:themeColor="text1"/>
                <w:lang w:val="en-AU"/>
              </w:rPr>
              <w:t>4.6</w:t>
            </w:r>
          </w:p>
        </w:tc>
      </w:tr>
    </w:tbl>
    <w:p w14:paraId="4DD54DA9" w14:textId="3DB2FD10" w:rsidR="00C2507C" w:rsidRPr="00A57F4B" w:rsidRDefault="00FF717D" w:rsidP="00C2507C">
      <w:pPr>
        <w:pStyle w:val="VCAAbody"/>
        <w:rPr>
          <w:lang w:val="en-AU"/>
        </w:rPr>
      </w:pPr>
      <w:r w:rsidRPr="00A57F4B">
        <w:rPr>
          <w:lang w:val="en-AU"/>
        </w:rPr>
        <w:t>T</w:t>
      </w:r>
      <w:r w:rsidR="00C2507C" w:rsidRPr="00A57F4B">
        <w:rPr>
          <w:lang w:val="en-AU"/>
        </w:rPr>
        <w:t xml:space="preserve">his question </w:t>
      </w:r>
      <w:r w:rsidRPr="00A57F4B">
        <w:rPr>
          <w:lang w:val="en-AU"/>
        </w:rPr>
        <w:t xml:space="preserve">asked </w:t>
      </w:r>
      <w:r w:rsidR="00C2507C" w:rsidRPr="00A57F4B">
        <w:rPr>
          <w:lang w:val="en-AU"/>
        </w:rPr>
        <w:t>students to evaluate the extent to which compulsory service caused tension in Australian society between 1914 and 1975. Higher-scoring responses began with a topic sentence outlining a contention that responded to the question and referred in depth to a range of primary and second</w:t>
      </w:r>
      <w:r w:rsidR="00E03B84" w:rsidRPr="00A57F4B">
        <w:rPr>
          <w:lang w:val="en-AU"/>
        </w:rPr>
        <w:t>ar</w:t>
      </w:r>
      <w:r w:rsidR="00C2507C" w:rsidRPr="00A57F4B">
        <w:rPr>
          <w:lang w:val="en-AU"/>
        </w:rPr>
        <w:t xml:space="preserve">y sources in fulfilling the </w:t>
      </w:r>
      <w:r w:rsidR="00635F98" w:rsidRPr="00A57F4B">
        <w:rPr>
          <w:lang w:val="en-AU"/>
        </w:rPr>
        <w:t xml:space="preserve">requirements </w:t>
      </w:r>
      <w:r w:rsidR="00C2507C" w:rsidRPr="00A57F4B">
        <w:rPr>
          <w:lang w:val="en-AU"/>
        </w:rPr>
        <w:t>of the question. More importantly, they attempted to evaluate the extent to which compulsory service caused tension in Australian society. Many students referred to World War I and specifically Billy Hughes and the 1916</w:t>
      </w:r>
      <w:r w:rsidR="00635F98" w:rsidRPr="00A57F4B">
        <w:rPr>
          <w:lang w:val="en-AU"/>
        </w:rPr>
        <w:t xml:space="preserve"> and 19</w:t>
      </w:r>
      <w:r w:rsidR="00C2507C" w:rsidRPr="00A57F4B">
        <w:rPr>
          <w:lang w:val="en-AU"/>
        </w:rPr>
        <w:t>17 referendums. The most effective evaluations were those that grappled effectively with the ‘tension’ caused by the referendums. They referred to the political, sectarian and social divisions between groups and referred to the 1916 results (49% for, 51% against) and the 1917 result (46% for</w:t>
      </w:r>
      <w:r w:rsidR="00635F98" w:rsidRPr="00A57F4B">
        <w:rPr>
          <w:lang w:val="en-AU"/>
        </w:rPr>
        <w:t>,</w:t>
      </w:r>
      <w:r w:rsidR="00C2507C" w:rsidRPr="00A57F4B">
        <w:rPr>
          <w:lang w:val="en-AU"/>
        </w:rPr>
        <w:t xml:space="preserve"> 54% against) to demonstrate the effect on society and politics </w:t>
      </w:r>
      <w:r w:rsidR="00635F98" w:rsidRPr="00A57F4B">
        <w:rPr>
          <w:lang w:val="en-AU"/>
        </w:rPr>
        <w:t xml:space="preserve">that </w:t>
      </w:r>
      <w:r w:rsidR="00C2507C" w:rsidRPr="00A57F4B">
        <w:rPr>
          <w:lang w:val="en-AU"/>
        </w:rPr>
        <w:t>resulted in Billy Hughes</w:t>
      </w:r>
      <w:r w:rsidR="00301AB0" w:rsidRPr="00A57F4B">
        <w:rPr>
          <w:lang w:val="en-AU"/>
        </w:rPr>
        <w:t>’s</w:t>
      </w:r>
      <w:r w:rsidR="00C2507C" w:rsidRPr="00A57F4B">
        <w:rPr>
          <w:lang w:val="en-AU"/>
        </w:rPr>
        <w:t xml:space="preserve"> decision to split from the </w:t>
      </w:r>
      <w:proofErr w:type="spellStart"/>
      <w:r w:rsidR="00C2507C" w:rsidRPr="00A57F4B">
        <w:rPr>
          <w:lang w:val="en-AU"/>
        </w:rPr>
        <w:t>Labor</w:t>
      </w:r>
      <w:proofErr w:type="spellEnd"/>
      <w:r w:rsidR="00C2507C" w:rsidRPr="00A57F4B">
        <w:rPr>
          <w:lang w:val="en-AU"/>
        </w:rPr>
        <w:t xml:space="preserve"> Party and form a new political party. Some students contrasted this tension regarding compulsory service in W</w:t>
      </w:r>
      <w:r w:rsidR="00FF4192">
        <w:rPr>
          <w:lang w:val="en-AU"/>
        </w:rPr>
        <w:t xml:space="preserve">orld </w:t>
      </w:r>
      <w:r w:rsidR="00C2507C" w:rsidRPr="00A57F4B">
        <w:rPr>
          <w:lang w:val="en-AU"/>
        </w:rPr>
        <w:t>W</w:t>
      </w:r>
      <w:r w:rsidR="00FF4192">
        <w:rPr>
          <w:lang w:val="en-AU"/>
        </w:rPr>
        <w:t xml:space="preserve">ar </w:t>
      </w:r>
      <w:r w:rsidR="003D02D7" w:rsidRPr="00A57F4B">
        <w:rPr>
          <w:lang w:val="en-AU"/>
        </w:rPr>
        <w:t>I</w:t>
      </w:r>
      <w:r w:rsidR="00C2507C" w:rsidRPr="00A57F4B">
        <w:rPr>
          <w:lang w:val="en-AU"/>
        </w:rPr>
        <w:t xml:space="preserve"> to the situation in W</w:t>
      </w:r>
      <w:r w:rsidR="00FF4192">
        <w:rPr>
          <w:lang w:val="en-AU"/>
        </w:rPr>
        <w:t xml:space="preserve">orld </w:t>
      </w:r>
      <w:proofErr w:type="gramStart"/>
      <w:r w:rsidR="00C2507C" w:rsidRPr="00A57F4B">
        <w:rPr>
          <w:lang w:val="en-AU"/>
        </w:rPr>
        <w:t>W</w:t>
      </w:r>
      <w:r w:rsidR="00FF4192">
        <w:rPr>
          <w:lang w:val="en-AU"/>
        </w:rPr>
        <w:t xml:space="preserve">ar </w:t>
      </w:r>
      <w:r w:rsidR="003D02D7" w:rsidRPr="00A57F4B">
        <w:rPr>
          <w:lang w:val="en-AU"/>
        </w:rPr>
        <w:t>II,</w:t>
      </w:r>
      <w:r w:rsidR="00C2507C" w:rsidRPr="00A57F4B">
        <w:rPr>
          <w:lang w:val="en-AU"/>
        </w:rPr>
        <w:t xml:space="preserve"> when</w:t>
      </w:r>
      <w:proofErr w:type="gramEnd"/>
      <w:r w:rsidR="00C2507C" w:rsidRPr="00A57F4B">
        <w:rPr>
          <w:lang w:val="en-AU"/>
        </w:rPr>
        <w:t xml:space="preserve"> tensions were not as apparent. Conscription was largely accepted by Australian society when Curtin, </w:t>
      </w:r>
      <w:r w:rsidR="00581D03" w:rsidRPr="00A57F4B">
        <w:rPr>
          <w:lang w:val="en-AU"/>
        </w:rPr>
        <w:t xml:space="preserve">in response to </w:t>
      </w:r>
      <w:r w:rsidR="00C2507C" w:rsidRPr="00A57F4B">
        <w:rPr>
          <w:lang w:val="en-AU"/>
        </w:rPr>
        <w:t>the looming threat of Japan, passed</w:t>
      </w:r>
      <w:r w:rsidR="00581D03" w:rsidRPr="00A57F4B">
        <w:rPr>
          <w:lang w:val="en-AU"/>
        </w:rPr>
        <w:t xml:space="preserve"> the </w:t>
      </w:r>
      <w:r w:rsidR="00C2507C" w:rsidRPr="00A57F4B">
        <w:rPr>
          <w:i/>
          <w:iCs/>
          <w:lang w:val="en-AU"/>
        </w:rPr>
        <w:t>Defence (C</w:t>
      </w:r>
      <w:r w:rsidR="00581D03" w:rsidRPr="00A57F4B">
        <w:rPr>
          <w:i/>
          <w:iCs/>
          <w:lang w:val="en-AU"/>
        </w:rPr>
        <w:t>itizens Military Forces</w:t>
      </w:r>
      <w:r w:rsidR="00C2507C" w:rsidRPr="00A57F4B">
        <w:rPr>
          <w:i/>
          <w:iCs/>
          <w:lang w:val="en-AU"/>
        </w:rPr>
        <w:t>) Act</w:t>
      </w:r>
      <w:r w:rsidR="00F370CB">
        <w:rPr>
          <w:i/>
          <w:iCs/>
          <w:lang w:val="en-AU"/>
        </w:rPr>
        <w:t xml:space="preserve"> </w:t>
      </w:r>
      <w:r w:rsidR="00581D03" w:rsidRPr="007838F5">
        <w:rPr>
          <w:i/>
          <w:iCs/>
          <w:lang w:val="en-AU"/>
        </w:rPr>
        <w:t>1943</w:t>
      </w:r>
      <w:r w:rsidR="00581D03" w:rsidRPr="00A57F4B">
        <w:rPr>
          <w:lang w:val="en-AU"/>
        </w:rPr>
        <w:t>,</w:t>
      </w:r>
      <w:r w:rsidR="00C2507C" w:rsidRPr="00A57F4B">
        <w:rPr>
          <w:lang w:val="en-AU"/>
        </w:rPr>
        <w:t xml:space="preserve"> which extended the boundaries where the CMF could be sent to include the South-Western Pacific Zone. Particularly sophisticated answers distinguished between attitudes towards compulsory military training domestically as opposed to conscripted soldiers being sent abroad.</w:t>
      </w:r>
    </w:p>
    <w:p w14:paraId="3C34F7EF" w14:textId="3A9D1FAF" w:rsidR="00C2507C" w:rsidRPr="00A57F4B" w:rsidRDefault="00C2507C" w:rsidP="00C2507C">
      <w:pPr>
        <w:pStyle w:val="VCAAbody"/>
        <w:rPr>
          <w:lang w:val="en-AU"/>
        </w:rPr>
      </w:pPr>
      <w:r w:rsidRPr="00A57F4B">
        <w:rPr>
          <w:lang w:val="en-AU"/>
        </w:rPr>
        <w:t xml:space="preserve">Most students also referred to the tensions created by compulsory service during the Vietnam War, acknowledging that when the </w:t>
      </w:r>
      <w:r w:rsidRPr="00A57F4B">
        <w:rPr>
          <w:i/>
          <w:iCs/>
          <w:lang w:val="en-AU"/>
        </w:rPr>
        <w:t>National Service Act</w:t>
      </w:r>
      <w:r w:rsidR="00F370CB">
        <w:rPr>
          <w:i/>
          <w:iCs/>
          <w:lang w:val="en-AU"/>
        </w:rPr>
        <w:t xml:space="preserve"> </w:t>
      </w:r>
      <w:r w:rsidRPr="007838F5">
        <w:rPr>
          <w:i/>
          <w:iCs/>
          <w:lang w:val="en-AU"/>
        </w:rPr>
        <w:t>1964</w:t>
      </w:r>
      <w:r w:rsidRPr="00A57F4B">
        <w:rPr>
          <w:lang w:val="en-AU"/>
        </w:rPr>
        <w:t xml:space="preserve"> was introduced there was little opposition</w:t>
      </w:r>
      <w:r w:rsidR="00F370CB">
        <w:rPr>
          <w:lang w:val="en-AU"/>
        </w:rPr>
        <w:t>. H</w:t>
      </w:r>
      <w:r w:rsidRPr="00A57F4B">
        <w:rPr>
          <w:lang w:val="en-AU"/>
        </w:rPr>
        <w:t>owever, as the war continued opposition grew and groups were formed in protest. Higher-scoring responses referred to the YCAC, the Save our S</w:t>
      </w:r>
      <w:r w:rsidR="00D84D11" w:rsidRPr="00A57F4B">
        <w:rPr>
          <w:lang w:val="en-AU"/>
        </w:rPr>
        <w:t>o</w:t>
      </w:r>
      <w:r w:rsidRPr="00A57F4B">
        <w:rPr>
          <w:lang w:val="en-AU"/>
        </w:rPr>
        <w:t xml:space="preserve">ns (SOS), </w:t>
      </w:r>
      <w:r w:rsidR="00D84D11" w:rsidRPr="00A57F4B">
        <w:rPr>
          <w:lang w:val="en-AU"/>
        </w:rPr>
        <w:t xml:space="preserve">and </w:t>
      </w:r>
      <w:r w:rsidRPr="00A57F4B">
        <w:rPr>
          <w:lang w:val="en-AU"/>
        </w:rPr>
        <w:t xml:space="preserve">the impacts of the Moratoriums that demonstrated unity and tension against conscription. </w:t>
      </w:r>
      <w:r w:rsidR="00D84D11" w:rsidRPr="00A57F4B">
        <w:rPr>
          <w:lang w:val="en-AU"/>
        </w:rPr>
        <w:t>R</w:t>
      </w:r>
      <w:r w:rsidRPr="00A57F4B">
        <w:rPr>
          <w:lang w:val="en-AU"/>
        </w:rPr>
        <w:t>esponses</w:t>
      </w:r>
      <w:r w:rsidR="00D84D11" w:rsidRPr="00A57F4B">
        <w:rPr>
          <w:lang w:val="en-AU"/>
        </w:rPr>
        <w:t xml:space="preserve"> that did not score well</w:t>
      </w:r>
      <w:r w:rsidRPr="00A57F4B">
        <w:rPr>
          <w:lang w:val="en-AU"/>
        </w:rPr>
        <w:t xml:space="preserve"> did not refer to or evaluate a wide range of evidence in their analysis of the extent to which compulsory service caused </w:t>
      </w:r>
      <w:r w:rsidR="00826368" w:rsidRPr="00A57F4B">
        <w:rPr>
          <w:lang w:val="en-AU"/>
        </w:rPr>
        <w:t xml:space="preserve">tension </w:t>
      </w:r>
      <w:r w:rsidRPr="00A57F4B">
        <w:rPr>
          <w:lang w:val="en-AU"/>
        </w:rPr>
        <w:t xml:space="preserve">between 1914 </w:t>
      </w:r>
      <w:r w:rsidR="00826368" w:rsidRPr="00A57F4B">
        <w:rPr>
          <w:lang w:val="en-AU"/>
        </w:rPr>
        <w:t>and</w:t>
      </w:r>
      <w:r w:rsidRPr="00A57F4B">
        <w:rPr>
          <w:lang w:val="en-AU"/>
        </w:rPr>
        <w:t xml:space="preserve"> 1975, concentrating only on one major war. </w:t>
      </w:r>
    </w:p>
    <w:p w14:paraId="1AE7807E" w14:textId="5F1A35F5" w:rsidR="00BB64D5" w:rsidRPr="00A57F4B" w:rsidRDefault="00BB64D5" w:rsidP="00BB64D5">
      <w:pPr>
        <w:pStyle w:val="VCAAHeading2"/>
        <w:rPr>
          <w:lang w:val="en-AU"/>
        </w:rPr>
      </w:pPr>
      <w:r w:rsidRPr="00A57F4B">
        <w:rPr>
          <w:lang w:val="en-AU"/>
        </w:rPr>
        <w:t>Section B</w:t>
      </w:r>
    </w:p>
    <w:tbl>
      <w:tblPr>
        <w:tblStyle w:val="VCAATableClosed"/>
        <w:tblW w:w="10483" w:type="dxa"/>
        <w:tblLook w:val="01E0" w:firstRow="1" w:lastRow="1" w:firstColumn="1" w:lastColumn="1" w:noHBand="0" w:noVBand="0"/>
      </w:tblPr>
      <w:tblGrid>
        <w:gridCol w:w="691"/>
        <w:gridCol w:w="420"/>
        <w:gridCol w:w="421"/>
        <w:gridCol w:w="421"/>
        <w:gridCol w:w="421"/>
        <w:gridCol w:w="421"/>
        <w:gridCol w:w="421"/>
        <w:gridCol w:w="421"/>
        <w:gridCol w:w="421"/>
        <w:gridCol w:w="421"/>
        <w:gridCol w:w="421"/>
        <w:gridCol w:w="429"/>
        <w:gridCol w:w="429"/>
        <w:gridCol w:w="429"/>
        <w:gridCol w:w="429"/>
        <w:gridCol w:w="429"/>
        <w:gridCol w:w="429"/>
        <w:gridCol w:w="429"/>
        <w:gridCol w:w="429"/>
        <w:gridCol w:w="429"/>
        <w:gridCol w:w="429"/>
        <w:gridCol w:w="429"/>
        <w:gridCol w:w="864"/>
      </w:tblGrid>
      <w:tr w:rsidR="007838F5" w:rsidRPr="007838F5" w14:paraId="4C0832F2" w14:textId="77777777" w:rsidTr="007838F5">
        <w:trPr>
          <w:cnfStyle w:val="100000000000" w:firstRow="1" w:lastRow="0" w:firstColumn="0" w:lastColumn="0" w:oddVBand="0" w:evenVBand="0" w:oddHBand="0" w:evenHBand="0" w:firstRowFirstColumn="0" w:firstRowLastColumn="0" w:lastRowFirstColumn="0" w:lastRowLastColumn="0"/>
          <w:trHeight w:hRule="exact" w:val="397"/>
        </w:trPr>
        <w:tc>
          <w:tcPr>
            <w:tcW w:w="691" w:type="dxa"/>
          </w:tcPr>
          <w:p w14:paraId="62B1E1A1" w14:textId="77777777" w:rsidR="00F34F60" w:rsidRPr="00A57F4B" w:rsidRDefault="00F34F60" w:rsidP="00A57F4B">
            <w:pPr>
              <w:pStyle w:val="VCAAtablecondensedheading"/>
              <w:rPr>
                <w:lang w:val="en-AU"/>
              </w:rPr>
            </w:pPr>
            <w:r w:rsidRPr="00A57F4B">
              <w:rPr>
                <w:lang w:val="en-AU"/>
              </w:rPr>
              <w:t>Marks</w:t>
            </w:r>
          </w:p>
        </w:tc>
        <w:tc>
          <w:tcPr>
            <w:tcW w:w="432" w:type="dxa"/>
          </w:tcPr>
          <w:p w14:paraId="5D29C94F" w14:textId="77777777" w:rsidR="00F34F60" w:rsidRPr="00A57F4B" w:rsidRDefault="00F34F60" w:rsidP="00A57F4B">
            <w:pPr>
              <w:pStyle w:val="VCAAtablecondensedheading"/>
              <w:rPr>
                <w:lang w:val="en-AU"/>
              </w:rPr>
            </w:pPr>
            <w:r w:rsidRPr="00A57F4B">
              <w:rPr>
                <w:lang w:val="en-AU"/>
              </w:rPr>
              <w:t>0</w:t>
            </w:r>
          </w:p>
        </w:tc>
        <w:tc>
          <w:tcPr>
            <w:tcW w:w="432" w:type="dxa"/>
          </w:tcPr>
          <w:p w14:paraId="271CC427" w14:textId="77777777" w:rsidR="00F34F60" w:rsidRPr="00A57F4B" w:rsidRDefault="00F34F60" w:rsidP="00A57F4B">
            <w:pPr>
              <w:pStyle w:val="VCAAtablecondensedheading"/>
              <w:rPr>
                <w:lang w:val="en-AU"/>
              </w:rPr>
            </w:pPr>
            <w:r w:rsidRPr="00A57F4B">
              <w:rPr>
                <w:lang w:val="en-AU"/>
              </w:rPr>
              <w:t>1</w:t>
            </w:r>
          </w:p>
        </w:tc>
        <w:tc>
          <w:tcPr>
            <w:tcW w:w="432" w:type="dxa"/>
          </w:tcPr>
          <w:p w14:paraId="159DC797" w14:textId="77777777" w:rsidR="00F34F60" w:rsidRPr="00A57F4B" w:rsidRDefault="00F34F60" w:rsidP="00A57F4B">
            <w:pPr>
              <w:pStyle w:val="VCAAtablecondensedheading"/>
              <w:rPr>
                <w:lang w:val="en-AU"/>
              </w:rPr>
            </w:pPr>
            <w:r w:rsidRPr="00A57F4B">
              <w:rPr>
                <w:lang w:val="en-AU"/>
              </w:rPr>
              <w:t>2</w:t>
            </w:r>
          </w:p>
        </w:tc>
        <w:tc>
          <w:tcPr>
            <w:tcW w:w="432" w:type="dxa"/>
          </w:tcPr>
          <w:p w14:paraId="60FEA0E7" w14:textId="77777777" w:rsidR="00F34F60" w:rsidRPr="00A57F4B" w:rsidRDefault="00F34F60" w:rsidP="00A57F4B">
            <w:pPr>
              <w:pStyle w:val="VCAAtablecondensedheading"/>
              <w:rPr>
                <w:lang w:val="en-AU"/>
              </w:rPr>
            </w:pPr>
            <w:r w:rsidRPr="00A57F4B">
              <w:rPr>
                <w:lang w:val="en-AU"/>
              </w:rPr>
              <w:t>3</w:t>
            </w:r>
          </w:p>
        </w:tc>
        <w:tc>
          <w:tcPr>
            <w:tcW w:w="432" w:type="dxa"/>
          </w:tcPr>
          <w:p w14:paraId="236FAED6" w14:textId="77777777" w:rsidR="00F34F60" w:rsidRPr="00A57F4B" w:rsidRDefault="00F34F60" w:rsidP="00A57F4B">
            <w:pPr>
              <w:pStyle w:val="VCAAtablecondensedheading"/>
              <w:rPr>
                <w:lang w:val="en-AU"/>
              </w:rPr>
            </w:pPr>
            <w:r w:rsidRPr="00A57F4B">
              <w:rPr>
                <w:lang w:val="en-AU"/>
              </w:rPr>
              <w:t>4</w:t>
            </w:r>
          </w:p>
        </w:tc>
        <w:tc>
          <w:tcPr>
            <w:tcW w:w="432" w:type="dxa"/>
          </w:tcPr>
          <w:p w14:paraId="0E931752" w14:textId="77777777" w:rsidR="00F34F60" w:rsidRPr="00A57F4B" w:rsidRDefault="00F34F60" w:rsidP="00A57F4B">
            <w:pPr>
              <w:pStyle w:val="VCAAtablecondensedheading"/>
              <w:rPr>
                <w:lang w:val="en-AU"/>
              </w:rPr>
            </w:pPr>
            <w:r w:rsidRPr="00A57F4B">
              <w:rPr>
                <w:lang w:val="en-AU"/>
              </w:rPr>
              <w:t>5</w:t>
            </w:r>
          </w:p>
        </w:tc>
        <w:tc>
          <w:tcPr>
            <w:tcW w:w="432" w:type="dxa"/>
          </w:tcPr>
          <w:p w14:paraId="3BF25485" w14:textId="77777777" w:rsidR="00F34F60" w:rsidRPr="00A57F4B" w:rsidRDefault="00F34F60" w:rsidP="00A57F4B">
            <w:pPr>
              <w:pStyle w:val="VCAAtablecondensedheading"/>
              <w:rPr>
                <w:lang w:val="en-AU"/>
              </w:rPr>
            </w:pPr>
            <w:r w:rsidRPr="00A57F4B">
              <w:rPr>
                <w:lang w:val="en-AU"/>
              </w:rPr>
              <w:t>6</w:t>
            </w:r>
          </w:p>
        </w:tc>
        <w:tc>
          <w:tcPr>
            <w:tcW w:w="432" w:type="dxa"/>
          </w:tcPr>
          <w:p w14:paraId="5AA140D7" w14:textId="77777777" w:rsidR="00F34F60" w:rsidRPr="00A57F4B" w:rsidRDefault="00F34F60" w:rsidP="00A57F4B">
            <w:pPr>
              <w:pStyle w:val="VCAAtablecondensedheading"/>
              <w:rPr>
                <w:lang w:val="en-AU"/>
              </w:rPr>
            </w:pPr>
            <w:r w:rsidRPr="00A57F4B">
              <w:rPr>
                <w:lang w:val="en-AU"/>
              </w:rPr>
              <w:t>7</w:t>
            </w:r>
          </w:p>
        </w:tc>
        <w:tc>
          <w:tcPr>
            <w:tcW w:w="432" w:type="dxa"/>
          </w:tcPr>
          <w:p w14:paraId="77415FBA" w14:textId="77777777" w:rsidR="00F34F60" w:rsidRPr="00A57F4B" w:rsidRDefault="00F34F60" w:rsidP="00A57F4B">
            <w:pPr>
              <w:pStyle w:val="VCAAtablecondensedheading"/>
              <w:rPr>
                <w:lang w:val="en-AU"/>
              </w:rPr>
            </w:pPr>
            <w:r w:rsidRPr="00A57F4B">
              <w:rPr>
                <w:lang w:val="en-AU"/>
              </w:rPr>
              <w:t>8</w:t>
            </w:r>
          </w:p>
        </w:tc>
        <w:tc>
          <w:tcPr>
            <w:tcW w:w="432" w:type="dxa"/>
          </w:tcPr>
          <w:p w14:paraId="22026ACB" w14:textId="77777777" w:rsidR="00F34F60" w:rsidRPr="00A57F4B" w:rsidRDefault="00F34F60" w:rsidP="00A57F4B">
            <w:pPr>
              <w:pStyle w:val="VCAAtablecondensedheading"/>
              <w:rPr>
                <w:lang w:val="en-AU"/>
              </w:rPr>
            </w:pPr>
            <w:r w:rsidRPr="00A57F4B">
              <w:rPr>
                <w:lang w:val="en-AU"/>
              </w:rPr>
              <w:t>9</w:t>
            </w:r>
          </w:p>
        </w:tc>
        <w:tc>
          <w:tcPr>
            <w:tcW w:w="432" w:type="dxa"/>
          </w:tcPr>
          <w:p w14:paraId="51C7A9EA" w14:textId="77777777" w:rsidR="00F34F60" w:rsidRPr="00A57F4B" w:rsidRDefault="00F34F60" w:rsidP="00A57F4B">
            <w:pPr>
              <w:pStyle w:val="VCAAtablecondensedheading"/>
              <w:rPr>
                <w:lang w:val="en-AU"/>
              </w:rPr>
            </w:pPr>
            <w:r w:rsidRPr="00A57F4B">
              <w:rPr>
                <w:lang w:val="en-AU"/>
              </w:rPr>
              <w:t>10</w:t>
            </w:r>
          </w:p>
        </w:tc>
        <w:tc>
          <w:tcPr>
            <w:tcW w:w="432" w:type="dxa"/>
          </w:tcPr>
          <w:p w14:paraId="31A2CE3E" w14:textId="2094A96D" w:rsidR="00F34F60" w:rsidRPr="00A57F4B" w:rsidRDefault="00F34F60" w:rsidP="00A57F4B">
            <w:pPr>
              <w:pStyle w:val="VCAAtablecondensedheading"/>
              <w:rPr>
                <w:lang w:val="en-AU"/>
              </w:rPr>
            </w:pPr>
            <w:r w:rsidRPr="00A57F4B">
              <w:rPr>
                <w:lang w:val="en-AU"/>
              </w:rPr>
              <w:t>11</w:t>
            </w:r>
          </w:p>
        </w:tc>
        <w:tc>
          <w:tcPr>
            <w:tcW w:w="432" w:type="dxa"/>
          </w:tcPr>
          <w:p w14:paraId="4DCEDF63" w14:textId="595EF98B" w:rsidR="00F34F60" w:rsidRPr="00A57F4B" w:rsidRDefault="00F34F60" w:rsidP="00A57F4B">
            <w:pPr>
              <w:pStyle w:val="VCAAtablecondensedheading"/>
              <w:rPr>
                <w:lang w:val="en-AU"/>
              </w:rPr>
            </w:pPr>
            <w:r w:rsidRPr="00A57F4B">
              <w:rPr>
                <w:lang w:val="en-AU"/>
              </w:rPr>
              <w:t>12</w:t>
            </w:r>
          </w:p>
        </w:tc>
        <w:tc>
          <w:tcPr>
            <w:tcW w:w="432" w:type="dxa"/>
          </w:tcPr>
          <w:p w14:paraId="145CC204" w14:textId="0FB77003" w:rsidR="00F34F60" w:rsidRPr="00A57F4B" w:rsidRDefault="00F34F60" w:rsidP="00A57F4B">
            <w:pPr>
              <w:pStyle w:val="VCAAtablecondensedheading"/>
              <w:rPr>
                <w:lang w:val="en-AU"/>
              </w:rPr>
            </w:pPr>
            <w:r w:rsidRPr="00A57F4B">
              <w:rPr>
                <w:lang w:val="en-AU"/>
              </w:rPr>
              <w:t>13</w:t>
            </w:r>
          </w:p>
        </w:tc>
        <w:tc>
          <w:tcPr>
            <w:tcW w:w="432" w:type="dxa"/>
          </w:tcPr>
          <w:p w14:paraId="458BE041" w14:textId="4D28FF39" w:rsidR="00F34F60" w:rsidRPr="00A57F4B" w:rsidRDefault="00F34F60" w:rsidP="00A57F4B">
            <w:pPr>
              <w:pStyle w:val="VCAAtablecondensedheading"/>
              <w:rPr>
                <w:lang w:val="en-AU"/>
              </w:rPr>
            </w:pPr>
            <w:r w:rsidRPr="00A57F4B">
              <w:rPr>
                <w:lang w:val="en-AU"/>
              </w:rPr>
              <w:t>14</w:t>
            </w:r>
          </w:p>
        </w:tc>
        <w:tc>
          <w:tcPr>
            <w:tcW w:w="432" w:type="dxa"/>
          </w:tcPr>
          <w:p w14:paraId="2226FE6C" w14:textId="7E0E4456" w:rsidR="00F34F60" w:rsidRPr="00A57F4B" w:rsidRDefault="00F34F60" w:rsidP="00A57F4B">
            <w:pPr>
              <w:pStyle w:val="VCAAtablecondensedheading"/>
              <w:rPr>
                <w:lang w:val="en-AU"/>
              </w:rPr>
            </w:pPr>
            <w:r w:rsidRPr="00A57F4B">
              <w:rPr>
                <w:lang w:val="en-AU"/>
              </w:rPr>
              <w:t>15</w:t>
            </w:r>
          </w:p>
        </w:tc>
        <w:tc>
          <w:tcPr>
            <w:tcW w:w="432" w:type="dxa"/>
          </w:tcPr>
          <w:p w14:paraId="4CFB42C9" w14:textId="53E86257" w:rsidR="00F34F60" w:rsidRPr="00A57F4B" w:rsidRDefault="00F34F60" w:rsidP="00A57F4B">
            <w:pPr>
              <w:pStyle w:val="VCAAtablecondensedheading"/>
              <w:rPr>
                <w:lang w:val="en-AU"/>
              </w:rPr>
            </w:pPr>
            <w:r w:rsidRPr="00A57F4B">
              <w:rPr>
                <w:lang w:val="en-AU"/>
              </w:rPr>
              <w:t>16</w:t>
            </w:r>
          </w:p>
        </w:tc>
        <w:tc>
          <w:tcPr>
            <w:tcW w:w="432" w:type="dxa"/>
          </w:tcPr>
          <w:p w14:paraId="5E3DF2C8" w14:textId="583F82E3" w:rsidR="00F34F60" w:rsidRPr="00A57F4B" w:rsidRDefault="00F34F60" w:rsidP="00A57F4B">
            <w:pPr>
              <w:pStyle w:val="VCAAtablecondensedheading"/>
              <w:rPr>
                <w:lang w:val="en-AU"/>
              </w:rPr>
            </w:pPr>
            <w:r w:rsidRPr="00A57F4B">
              <w:rPr>
                <w:lang w:val="en-AU"/>
              </w:rPr>
              <w:t>17</w:t>
            </w:r>
          </w:p>
        </w:tc>
        <w:tc>
          <w:tcPr>
            <w:tcW w:w="432" w:type="dxa"/>
          </w:tcPr>
          <w:p w14:paraId="0997D3BA" w14:textId="75939D8C" w:rsidR="00F34F60" w:rsidRPr="00A57F4B" w:rsidRDefault="00F34F60" w:rsidP="00A57F4B">
            <w:pPr>
              <w:pStyle w:val="VCAAtablecondensedheading"/>
              <w:rPr>
                <w:lang w:val="en-AU"/>
              </w:rPr>
            </w:pPr>
            <w:r w:rsidRPr="00A57F4B">
              <w:rPr>
                <w:lang w:val="en-AU"/>
              </w:rPr>
              <w:t>18</w:t>
            </w:r>
          </w:p>
        </w:tc>
        <w:tc>
          <w:tcPr>
            <w:tcW w:w="432" w:type="dxa"/>
          </w:tcPr>
          <w:p w14:paraId="20A23DB8" w14:textId="265D2DDA" w:rsidR="00F34F60" w:rsidRPr="00A57F4B" w:rsidRDefault="00F34F60" w:rsidP="00A57F4B">
            <w:pPr>
              <w:pStyle w:val="VCAAtablecondensedheading"/>
              <w:rPr>
                <w:lang w:val="en-AU"/>
              </w:rPr>
            </w:pPr>
            <w:r w:rsidRPr="00A57F4B">
              <w:rPr>
                <w:lang w:val="en-AU"/>
              </w:rPr>
              <w:t>19</w:t>
            </w:r>
          </w:p>
        </w:tc>
        <w:tc>
          <w:tcPr>
            <w:tcW w:w="432" w:type="dxa"/>
          </w:tcPr>
          <w:p w14:paraId="0B2689B3" w14:textId="7A526345" w:rsidR="00F34F60" w:rsidRPr="00A57F4B" w:rsidRDefault="00F34F60" w:rsidP="00A57F4B">
            <w:pPr>
              <w:pStyle w:val="VCAAtablecondensedheading"/>
              <w:rPr>
                <w:lang w:val="en-AU"/>
              </w:rPr>
            </w:pPr>
            <w:r w:rsidRPr="00A57F4B">
              <w:rPr>
                <w:lang w:val="en-AU"/>
              </w:rPr>
              <w:t>20</w:t>
            </w:r>
          </w:p>
        </w:tc>
        <w:tc>
          <w:tcPr>
            <w:tcW w:w="720" w:type="dxa"/>
          </w:tcPr>
          <w:p w14:paraId="73CE4A60" w14:textId="4AE79743" w:rsidR="00F34F60" w:rsidRPr="00A57F4B" w:rsidRDefault="00F34F60" w:rsidP="00A57F4B">
            <w:pPr>
              <w:pStyle w:val="VCAAtablecondensedheading"/>
              <w:rPr>
                <w:lang w:val="en-AU"/>
              </w:rPr>
            </w:pPr>
            <w:r w:rsidRPr="00A57F4B">
              <w:rPr>
                <w:lang w:val="en-AU"/>
              </w:rPr>
              <w:t>Average</w:t>
            </w:r>
          </w:p>
        </w:tc>
      </w:tr>
      <w:tr w:rsidR="00F34F60" w:rsidRPr="00A57F4B" w14:paraId="7D7130AB" w14:textId="77777777" w:rsidTr="007838F5">
        <w:trPr>
          <w:trHeight w:hRule="exact" w:val="397"/>
        </w:trPr>
        <w:tc>
          <w:tcPr>
            <w:tcW w:w="691" w:type="dxa"/>
          </w:tcPr>
          <w:p w14:paraId="7197414E" w14:textId="77777777" w:rsidR="00F34F60" w:rsidRPr="00A57F4B" w:rsidRDefault="00F34F60" w:rsidP="00A57F4B">
            <w:pPr>
              <w:pStyle w:val="VCAAtablecondensed"/>
              <w:rPr>
                <w:lang w:val="en-AU"/>
              </w:rPr>
            </w:pPr>
            <w:r w:rsidRPr="00A57F4B">
              <w:rPr>
                <w:lang w:val="en-AU"/>
              </w:rPr>
              <w:t>%</w:t>
            </w:r>
          </w:p>
        </w:tc>
        <w:tc>
          <w:tcPr>
            <w:tcW w:w="432" w:type="dxa"/>
            <w:vAlign w:val="center"/>
          </w:tcPr>
          <w:p w14:paraId="52B153E8" w14:textId="16D63E70"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vAlign w:val="center"/>
          </w:tcPr>
          <w:p w14:paraId="77ECCDCF" w14:textId="6C571325" w:rsidR="00F34F60" w:rsidRPr="00A57F4B" w:rsidRDefault="00BB709D" w:rsidP="00A57F4B">
            <w:pPr>
              <w:pStyle w:val="VCAAtablecondensedheading"/>
              <w:rPr>
                <w:color w:val="000000" w:themeColor="text1"/>
                <w:lang w:val="en-AU"/>
              </w:rPr>
            </w:pPr>
            <w:r w:rsidRPr="00A57F4B">
              <w:rPr>
                <w:color w:val="000000" w:themeColor="text1"/>
                <w:lang w:val="en-AU"/>
              </w:rPr>
              <w:t>1</w:t>
            </w:r>
          </w:p>
        </w:tc>
        <w:tc>
          <w:tcPr>
            <w:tcW w:w="432" w:type="dxa"/>
            <w:vAlign w:val="center"/>
          </w:tcPr>
          <w:p w14:paraId="52A078EE" w14:textId="77F92C51" w:rsidR="00F34F60" w:rsidRPr="00A57F4B" w:rsidRDefault="00BB709D" w:rsidP="00A57F4B">
            <w:pPr>
              <w:pStyle w:val="VCAAtablecondensedheading"/>
              <w:rPr>
                <w:color w:val="000000" w:themeColor="text1"/>
                <w:lang w:val="en-AU"/>
              </w:rPr>
            </w:pPr>
            <w:r w:rsidRPr="00A57F4B">
              <w:rPr>
                <w:color w:val="000000" w:themeColor="text1"/>
                <w:lang w:val="en-AU"/>
              </w:rPr>
              <w:t>3</w:t>
            </w:r>
          </w:p>
        </w:tc>
        <w:tc>
          <w:tcPr>
            <w:tcW w:w="432" w:type="dxa"/>
          </w:tcPr>
          <w:p w14:paraId="714C30AE" w14:textId="04E5C6DB"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tcPr>
          <w:p w14:paraId="12F46479" w14:textId="25C1B4B4" w:rsidR="00F34F60" w:rsidRPr="00A57F4B" w:rsidRDefault="00BB709D" w:rsidP="00A57F4B">
            <w:pPr>
              <w:pStyle w:val="VCAAtablecondensedheading"/>
              <w:rPr>
                <w:color w:val="000000" w:themeColor="text1"/>
                <w:lang w:val="en-AU"/>
              </w:rPr>
            </w:pPr>
            <w:r w:rsidRPr="00A57F4B">
              <w:rPr>
                <w:color w:val="000000" w:themeColor="text1"/>
                <w:lang w:val="en-AU"/>
              </w:rPr>
              <w:t>4</w:t>
            </w:r>
          </w:p>
        </w:tc>
        <w:tc>
          <w:tcPr>
            <w:tcW w:w="432" w:type="dxa"/>
          </w:tcPr>
          <w:p w14:paraId="44BF20BE" w14:textId="06454D93"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tcPr>
          <w:p w14:paraId="7357E7FF" w14:textId="5FAA3402" w:rsidR="00F34F60" w:rsidRPr="00A57F4B" w:rsidRDefault="00BB709D" w:rsidP="00A57F4B">
            <w:pPr>
              <w:pStyle w:val="VCAAtablecondensedheading"/>
              <w:rPr>
                <w:color w:val="000000" w:themeColor="text1"/>
                <w:lang w:val="en-AU"/>
              </w:rPr>
            </w:pPr>
            <w:r w:rsidRPr="00A57F4B">
              <w:rPr>
                <w:color w:val="000000" w:themeColor="text1"/>
                <w:lang w:val="en-AU"/>
              </w:rPr>
              <w:t>6</w:t>
            </w:r>
          </w:p>
        </w:tc>
        <w:tc>
          <w:tcPr>
            <w:tcW w:w="432" w:type="dxa"/>
          </w:tcPr>
          <w:p w14:paraId="0E6C0CB6" w14:textId="73788B01"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tcPr>
          <w:p w14:paraId="62306B52" w14:textId="4AC91564" w:rsidR="00F34F60" w:rsidRPr="00A57F4B" w:rsidRDefault="00BB709D" w:rsidP="00A57F4B">
            <w:pPr>
              <w:pStyle w:val="VCAAtablecondensedheading"/>
              <w:rPr>
                <w:color w:val="000000" w:themeColor="text1"/>
                <w:lang w:val="en-AU"/>
              </w:rPr>
            </w:pPr>
            <w:r w:rsidRPr="00A57F4B">
              <w:rPr>
                <w:color w:val="000000" w:themeColor="text1"/>
                <w:lang w:val="en-AU"/>
              </w:rPr>
              <w:t>8</w:t>
            </w:r>
          </w:p>
        </w:tc>
        <w:tc>
          <w:tcPr>
            <w:tcW w:w="432" w:type="dxa"/>
          </w:tcPr>
          <w:p w14:paraId="76921462" w14:textId="731BFA66" w:rsidR="00F34F60" w:rsidRPr="00A57F4B" w:rsidRDefault="00BB709D" w:rsidP="00A57F4B">
            <w:pPr>
              <w:pStyle w:val="VCAAtablecondensedheading"/>
              <w:rPr>
                <w:color w:val="000000" w:themeColor="text1"/>
                <w:lang w:val="en-AU"/>
              </w:rPr>
            </w:pPr>
            <w:r w:rsidRPr="00A57F4B">
              <w:rPr>
                <w:color w:val="000000" w:themeColor="text1"/>
                <w:lang w:val="en-AU"/>
              </w:rPr>
              <w:t>6</w:t>
            </w:r>
          </w:p>
        </w:tc>
        <w:tc>
          <w:tcPr>
            <w:tcW w:w="432" w:type="dxa"/>
          </w:tcPr>
          <w:p w14:paraId="5D24ED82" w14:textId="18F312CD"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tcPr>
          <w:p w14:paraId="403117C5" w14:textId="70F4FD7F" w:rsidR="00F34F60" w:rsidRPr="00A57F4B" w:rsidRDefault="00BB709D" w:rsidP="00A57F4B">
            <w:pPr>
              <w:pStyle w:val="VCAAtablecondensedheading"/>
              <w:rPr>
                <w:color w:val="000000" w:themeColor="text1"/>
                <w:lang w:val="en-AU"/>
              </w:rPr>
            </w:pPr>
            <w:r w:rsidRPr="00A57F4B">
              <w:rPr>
                <w:color w:val="000000" w:themeColor="text1"/>
                <w:lang w:val="en-AU"/>
              </w:rPr>
              <w:t>8</w:t>
            </w:r>
          </w:p>
        </w:tc>
        <w:tc>
          <w:tcPr>
            <w:tcW w:w="432" w:type="dxa"/>
          </w:tcPr>
          <w:p w14:paraId="3669BF94" w14:textId="33B9DAA2" w:rsidR="00F34F60" w:rsidRPr="00A57F4B" w:rsidRDefault="00BB709D" w:rsidP="00A57F4B">
            <w:pPr>
              <w:pStyle w:val="VCAAtablecondensedheading"/>
              <w:rPr>
                <w:color w:val="000000" w:themeColor="text1"/>
                <w:lang w:val="en-AU"/>
              </w:rPr>
            </w:pPr>
            <w:r w:rsidRPr="00A57F4B">
              <w:rPr>
                <w:color w:val="000000" w:themeColor="text1"/>
                <w:lang w:val="en-AU"/>
              </w:rPr>
              <w:t>4</w:t>
            </w:r>
          </w:p>
        </w:tc>
        <w:tc>
          <w:tcPr>
            <w:tcW w:w="432" w:type="dxa"/>
          </w:tcPr>
          <w:p w14:paraId="11E75088" w14:textId="2B818A49" w:rsidR="00F34F60" w:rsidRPr="00A57F4B" w:rsidRDefault="00BB709D" w:rsidP="00A57F4B">
            <w:pPr>
              <w:pStyle w:val="VCAAtablecondensedheading"/>
              <w:rPr>
                <w:color w:val="000000" w:themeColor="text1"/>
                <w:lang w:val="en-AU"/>
              </w:rPr>
            </w:pPr>
            <w:r w:rsidRPr="00A57F4B">
              <w:rPr>
                <w:color w:val="000000" w:themeColor="text1"/>
                <w:lang w:val="en-AU"/>
              </w:rPr>
              <w:t>6</w:t>
            </w:r>
          </w:p>
        </w:tc>
        <w:tc>
          <w:tcPr>
            <w:tcW w:w="432" w:type="dxa"/>
          </w:tcPr>
          <w:p w14:paraId="72093AFC" w14:textId="486055F4" w:rsidR="00F34F60" w:rsidRPr="00A57F4B" w:rsidRDefault="00BB709D" w:rsidP="00A57F4B">
            <w:pPr>
              <w:pStyle w:val="VCAAtablecondensedheading"/>
              <w:rPr>
                <w:color w:val="000000" w:themeColor="text1"/>
                <w:lang w:val="en-AU"/>
              </w:rPr>
            </w:pPr>
            <w:r w:rsidRPr="00A57F4B">
              <w:rPr>
                <w:color w:val="000000" w:themeColor="text1"/>
                <w:lang w:val="en-AU"/>
              </w:rPr>
              <w:t>7</w:t>
            </w:r>
          </w:p>
        </w:tc>
        <w:tc>
          <w:tcPr>
            <w:tcW w:w="432" w:type="dxa"/>
          </w:tcPr>
          <w:p w14:paraId="6728BD9F" w14:textId="0990888F" w:rsidR="00F34F60" w:rsidRPr="00A57F4B" w:rsidRDefault="00BB709D" w:rsidP="00A57F4B">
            <w:pPr>
              <w:pStyle w:val="VCAAtablecondensedheading"/>
              <w:rPr>
                <w:color w:val="000000" w:themeColor="text1"/>
                <w:lang w:val="en-AU"/>
              </w:rPr>
            </w:pPr>
            <w:r w:rsidRPr="00A57F4B">
              <w:rPr>
                <w:color w:val="000000" w:themeColor="text1"/>
                <w:lang w:val="en-AU"/>
              </w:rPr>
              <w:t>6</w:t>
            </w:r>
          </w:p>
        </w:tc>
        <w:tc>
          <w:tcPr>
            <w:tcW w:w="432" w:type="dxa"/>
          </w:tcPr>
          <w:p w14:paraId="20FF6224" w14:textId="3CF78FE7" w:rsidR="00F34F60" w:rsidRPr="00A57F4B" w:rsidRDefault="00BB709D" w:rsidP="00A57F4B">
            <w:pPr>
              <w:pStyle w:val="VCAAtablecondensedheading"/>
              <w:rPr>
                <w:color w:val="000000" w:themeColor="text1"/>
                <w:lang w:val="en-AU"/>
              </w:rPr>
            </w:pPr>
            <w:r w:rsidRPr="00A57F4B">
              <w:rPr>
                <w:color w:val="000000" w:themeColor="text1"/>
                <w:lang w:val="en-AU"/>
              </w:rPr>
              <w:t>5</w:t>
            </w:r>
          </w:p>
        </w:tc>
        <w:tc>
          <w:tcPr>
            <w:tcW w:w="432" w:type="dxa"/>
          </w:tcPr>
          <w:p w14:paraId="0064CFB5" w14:textId="005858C7" w:rsidR="00F34F60" w:rsidRPr="00A57F4B" w:rsidRDefault="00BB709D" w:rsidP="00A57F4B">
            <w:pPr>
              <w:pStyle w:val="VCAAtablecondensedheading"/>
              <w:rPr>
                <w:color w:val="000000" w:themeColor="text1"/>
                <w:lang w:val="en-AU"/>
              </w:rPr>
            </w:pPr>
            <w:r w:rsidRPr="00A57F4B">
              <w:rPr>
                <w:color w:val="000000" w:themeColor="text1"/>
                <w:lang w:val="en-AU"/>
              </w:rPr>
              <w:t>4</w:t>
            </w:r>
          </w:p>
        </w:tc>
        <w:tc>
          <w:tcPr>
            <w:tcW w:w="432" w:type="dxa"/>
          </w:tcPr>
          <w:p w14:paraId="3680F0F3" w14:textId="282CE977" w:rsidR="00F34F60" w:rsidRPr="00A57F4B" w:rsidRDefault="00BB709D" w:rsidP="00A57F4B">
            <w:pPr>
              <w:pStyle w:val="VCAAtablecondensedheading"/>
              <w:rPr>
                <w:color w:val="000000" w:themeColor="text1"/>
                <w:lang w:val="en-AU"/>
              </w:rPr>
            </w:pPr>
            <w:r w:rsidRPr="00A57F4B">
              <w:rPr>
                <w:color w:val="000000" w:themeColor="text1"/>
                <w:lang w:val="en-AU"/>
              </w:rPr>
              <w:t>4</w:t>
            </w:r>
          </w:p>
        </w:tc>
        <w:tc>
          <w:tcPr>
            <w:tcW w:w="432" w:type="dxa"/>
          </w:tcPr>
          <w:p w14:paraId="0BA87BD7" w14:textId="63DBC8EB" w:rsidR="00F34F60" w:rsidRPr="00A57F4B" w:rsidRDefault="00BB709D" w:rsidP="00A57F4B">
            <w:pPr>
              <w:pStyle w:val="VCAAtablecondensedheading"/>
              <w:rPr>
                <w:color w:val="000000" w:themeColor="text1"/>
                <w:lang w:val="en-AU"/>
              </w:rPr>
            </w:pPr>
            <w:r w:rsidRPr="00A57F4B">
              <w:rPr>
                <w:color w:val="000000" w:themeColor="text1"/>
                <w:lang w:val="en-AU"/>
              </w:rPr>
              <w:t>2</w:t>
            </w:r>
          </w:p>
        </w:tc>
        <w:tc>
          <w:tcPr>
            <w:tcW w:w="432" w:type="dxa"/>
          </w:tcPr>
          <w:p w14:paraId="59A395A2" w14:textId="7D33B7EC" w:rsidR="00F34F60" w:rsidRPr="00A57F4B" w:rsidRDefault="00BB709D" w:rsidP="00A57F4B">
            <w:pPr>
              <w:pStyle w:val="VCAAtablecondensedheading"/>
              <w:rPr>
                <w:color w:val="000000" w:themeColor="text1"/>
                <w:lang w:val="en-AU"/>
              </w:rPr>
            </w:pPr>
            <w:r w:rsidRPr="00A57F4B">
              <w:rPr>
                <w:color w:val="000000" w:themeColor="text1"/>
                <w:lang w:val="en-AU"/>
              </w:rPr>
              <w:t>2</w:t>
            </w:r>
          </w:p>
        </w:tc>
        <w:tc>
          <w:tcPr>
            <w:tcW w:w="720" w:type="dxa"/>
          </w:tcPr>
          <w:p w14:paraId="6CB88272" w14:textId="4B09317B" w:rsidR="00F34F60" w:rsidRPr="00A57F4B" w:rsidRDefault="00BB709D" w:rsidP="00A57F4B">
            <w:pPr>
              <w:pStyle w:val="VCAAtablecondensedheading"/>
              <w:rPr>
                <w:color w:val="000000" w:themeColor="text1"/>
                <w:lang w:val="en-AU"/>
              </w:rPr>
            </w:pPr>
            <w:r w:rsidRPr="00A57F4B">
              <w:rPr>
                <w:color w:val="000000" w:themeColor="text1"/>
                <w:lang w:val="en-AU"/>
              </w:rPr>
              <w:t>10.0</w:t>
            </w:r>
          </w:p>
        </w:tc>
      </w:tr>
    </w:tbl>
    <w:p w14:paraId="7705219D" w14:textId="1BFEE005" w:rsidR="00BB64D5" w:rsidRPr="00A57F4B" w:rsidRDefault="00E430CE" w:rsidP="00BB64D5">
      <w:pPr>
        <w:pStyle w:val="VCAAbody"/>
        <w:rPr>
          <w:lang w:val="en-AU"/>
        </w:rPr>
      </w:pPr>
      <w:r w:rsidRPr="00A57F4B">
        <w:rPr>
          <w:lang w:val="en-AU"/>
        </w:rPr>
        <w:t xml:space="preserve">The assessment criteria and expected qualities for Section B were published </w:t>
      </w:r>
      <w:r w:rsidR="00BF67FA" w:rsidRPr="00A57F4B">
        <w:rPr>
          <w:lang w:val="en-AU"/>
        </w:rPr>
        <w:t xml:space="preserve">on </w:t>
      </w:r>
      <w:r w:rsidRPr="00A57F4B">
        <w:rPr>
          <w:lang w:val="en-AU"/>
        </w:rPr>
        <w:t>the VCAA website in June 2022.</w:t>
      </w:r>
      <w:r w:rsidR="00CC564A" w:rsidRPr="00A57F4B">
        <w:rPr>
          <w:lang w:val="en-AU"/>
        </w:rPr>
        <w:t xml:space="preserve"> </w:t>
      </w:r>
      <w:r w:rsidRPr="00A57F4B">
        <w:rPr>
          <w:lang w:val="en-AU"/>
        </w:rPr>
        <w:t>High</w:t>
      </w:r>
      <w:r w:rsidR="00094337" w:rsidRPr="00A57F4B">
        <w:rPr>
          <w:lang w:val="en-AU"/>
        </w:rPr>
        <w:t>-</w:t>
      </w:r>
      <w:r w:rsidRPr="00A57F4B">
        <w:rPr>
          <w:lang w:val="en-AU"/>
        </w:rPr>
        <w:t>scoring responses were distinguished by their use of precise and detailed knowledge</w:t>
      </w:r>
      <w:r w:rsidR="00094337" w:rsidRPr="00A57F4B">
        <w:rPr>
          <w:lang w:val="en-AU"/>
        </w:rPr>
        <w:t>,</w:t>
      </w:r>
      <w:r w:rsidRPr="00A57F4B">
        <w:rPr>
          <w:lang w:val="en-AU"/>
        </w:rPr>
        <w:t xml:space="preserve"> which was relevant to both the specific question and the appropriate study design and focused on the designated time frame.</w:t>
      </w:r>
      <w:r w:rsidR="00CC564A" w:rsidRPr="00A57F4B">
        <w:rPr>
          <w:lang w:val="en-AU"/>
        </w:rPr>
        <w:t xml:space="preserve"> </w:t>
      </w:r>
      <w:r w:rsidR="00094337" w:rsidRPr="00A57F4B">
        <w:rPr>
          <w:lang w:val="en-AU"/>
        </w:rPr>
        <w:t>These</w:t>
      </w:r>
      <w:r w:rsidRPr="00A57F4B">
        <w:rPr>
          <w:lang w:val="en-AU"/>
        </w:rPr>
        <w:t xml:space="preserve"> responses also engaged with the key terms of the question and provided a balanced and evaluative response to the prompt.</w:t>
      </w:r>
      <w:r w:rsidR="00CC564A" w:rsidRPr="00A57F4B">
        <w:rPr>
          <w:lang w:val="en-AU"/>
        </w:rPr>
        <w:t xml:space="preserve"> </w:t>
      </w:r>
      <w:r w:rsidRPr="00A57F4B">
        <w:rPr>
          <w:lang w:val="en-AU"/>
        </w:rPr>
        <w:t xml:space="preserve">Furthermore, the </w:t>
      </w:r>
      <w:r w:rsidR="00094337" w:rsidRPr="00A57F4B">
        <w:rPr>
          <w:lang w:val="en-AU"/>
        </w:rPr>
        <w:t xml:space="preserve">highest-scoring </w:t>
      </w:r>
      <w:r w:rsidRPr="00A57F4B">
        <w:rPr>
          <w:lang w:val="en-AU"/>
        </w:rPr>
        <w:t>responses used</w:t>
      </w:r>
      <w:r w:rsidR="00F370CB">
        <w:rPr>
          <w:lang w:val="en-AU"/>
        </w:rPr>
        <w:t>,</w:t>
      </w:r>
      <w:r w:rsidRPr="00A57F4B">
        <w:rPr>
          <w:lang w:val="en-AU"/>
        </w:rPr>
        <w:t xml:space="preserve"> and appropriately attributed</w:t>
      </w:r>
      <w:r w:rsidR="00F370CB">
        <w:rPr>
          <w:lang w:val="en-AU"/>
        </w:rPr>
        <w:t>,</w:t>
      </w:r>
      <w:r w:rsidRPr="00A57F4B">
        <w:rPr>
          <w:lang w:val="en-AU"/>
        </w:rPr>
        <w:t xml:space="preserve"> a diverse range of relevant evidence, which could include, but is not limited to, quoting or paraphrasing historians or </w:t>
      </w:r>
      <w:r w:rsidR="00840738" w:rsidRPr="00A57F4B">
        <w:rPr>
          <w:lang w:val="en-AU"/>
        </w:rPr>
        <w:t>primary sources</w:t>
      </w:r>
      <w:r w:rsidRPr="00A57F4B">
        <w:rPr>
          <w:lang w:val="en-AU"/>
        </w:rPr>
        <w:t xml:space="preserve"> from the past, citing legislation, providing examples or referencing statistical data.</w:t>
      </w:r>
      <w:r w:rsidR="00CC564A" w:rsidRPr="00A57F4B">
        <w:rPr>
          <w:lang w:val="en-AU"/>
        </w:rPr>
        <w:t xml:space="preserve"> </w:t>
      </w:r>
    </w:p>
    <w:p w14:paraId="60EF907B" w14:textId="44E0D974" w:rsidR="00840738" w:rsidRPr="00A57F4B" w:rsidRDefault="00840738" w:rsidP="00BB64D5">
      <w:pPr>
        <w:pStyle w:val="VCAAbody"/>
        <w:rPr>
          <w:lang w:val="en-AU"/>
        </w:rPr>
      </w:pPr>
      <w:r w:rsidRPr="00A57F4B">
        <w:rPr>
          <w:lang w:val="en-AU"/>
        </w:rPr>
        <w:lastRenderedPageBreak/>
        <w:t>In general, essays were well-structured, with students establishing a clear contention in their introduction and using topic sentences to make assertions about the past, rather than providing information.</w:t>
      </w:r>
      <w:r w:rsidR="00CC564A" w:rsidRPr="00A57F4B">
        <w:rPr>
          <w:lang w:val="en-AU"/>
        </w:rPr>
        <w:t xml:space="preserve"> </w:t>
      </w:r>
    </w:p>
    <w:p w14:paraId="386BBA29" w14:textId="0103061F" w:rsidR="00BB64D5" w:rsidRPr="00A57F4B" w:rsidRDefault="00BB64D5" w:rsidP="00BB64D5">
      <w:pPr>
        <w:pStyle w:val="VCAAHeading3"/>
        <w:rPr>
          <w:lang w:val="en-AU"/>
        </w:rPr>
      </w:pPr>
      <w:r w:rsidRPr="00A57F4B">
        <w:rPr>
          <w:lang w:val="en-AU"/>
        </w:rPr>
        <w:t>Question 1</w:t>
      </w:r>
    </w:p>
    <w:p w14:paraId="50E7331C" w14:textId="1CE02C7B" w:rsidR="00840738" w:rsidRPr="00A57F4B" w:rsidRDefault="00840738" w:rsidP="00A45B23">
      <w:pPr>
        <w:pStyle w:val="VCAAbody"/>
        <w:rPr>
          <w:lang w:val="en-AU"/>
        </w:rPr>
      </w:pPr>
      <w:r w:rsidRPr="00A57F4B">
        <w:rPr>
          <w:lang w:val="en-AU"/>
        </w:rPr>
        <w:t>Question 1 required students to evaluate whether Australians, since 1950, have firmly believed that the benefits of the mining industry to Australia far outweigh the environmental impacts.</w:t>
      </w:r>
      <w:r w:rsidR="00CC564A" w:rsidRPr="00A57F4B">
        <w:rPr>
          <w:lang w:val="en-AU"/>
        </w:rPr>
        <w:t xml:space="preserve"> </w:t>
      </w:r>
      <w:r w:rsidRPr="00A57F4B">
        <w:rPr>
          <w:lang w:val="en-AU"/>
        </w:rPr>
        <w:t xml:space="preserve">Fewer than </w:t>
      </w:r>
      <w:r w:rsidR="006F32F0" w:rsidRPr="00A57F4B">
        <w:rPr>
          <w:lang w:val="en-AU"/>
        </w:rPr>
        <w:t>five per cent</w:t>
      </w:r>
      <w:r w:rsidRPr="00A57F4B">
        <w:rPr>
          <w:lang w:val="en-AU"/>
        </w:rPr>
        <w:t xml:space="preserve"> of students attempted a response to this essay question.</w:t>
      </w:r>
      <w:r w:rsidR="00CC564A" w:rsidRPr="00A57F4B">
        <w:rPr>
          <w:lang w:val="en-AU"/>
        </w:rPr>
        <w:t xml:space="preserve"> </w:t>
      </w:r>
      <w:r w:rsidR="00CC4F6C" w:rsidRPr="00A57F4B">
        <w:rPr>
          <w:lang w:val="en-AU"/>
        </w:rPr>
        <w:t xml:space="preserve">High-scoring </w:t>
      </w:r>
      <w:r w:rsidRPr="00A57F4B">
        <w:rPr>
          <w:lang w:val="en-AU"/>
        </w:rPr>
        <w:t>responses challenged the prompt while acknowledging support for mining and its importance to the Australian economy, drawing on Geoffrey Blainey and primary</w:t>
      </w:r>
      <w:r w:rsidR="00CC4F6C" w:rsidRPr="00A57F4B">
        <w:rPr>
          <w:lang w:val="en-AU"/>
        </w:rPr>
        <w:t>-</w:t>
      </w:r>
      <w:r w:rsidRPr="00A57F4B">
        <w:rPr>
          <w:lang w:val="en-AU"/>
        </w:rPr>
        <w:t>source perspectives such as Hugh Morgan as a forceful advocate for mining’s benefits, as well government support across the period.</w:t>
      </w:r>
      <w:r w:rsidR="00CC564A" w:rsidRPr="00A57F4B">
        <w:rPr>
          <w:lang w:val="en-AU"/>
        </w:rPr>
        <w:t xml:space="preserve"> </w:t>
      </w:r>
      <w:r w:rsidRPr="00A57F4B">
        <w:rPr>
          <w:lang w:val="en-AU"/>
        </w:rPr>
        <w:t xml:space="preserve">By contrast, many responses described the growing environmental movement, and protests against mining from Aboriginal groups, such as the Yirrkala Bark </w:t>
      </w:r>
      <w:r w:rsidR="00F370CB" w:rsidRPr="00A57F4B">
        <w:rPr>
          <w:lang w:val="en-AU"/>
        </w:rPr>
        <w:t>Petition</w:t>
      </w:r>
      <w:r w:rsidRPr="00A57F4B">
        <w:rPr>
          <w:lang w:val="en-AU"/>
        </w:rPr>
        <w:t xml:space="preserve"> (1963) and the subsequent Gove land rights case</w:t>
      </w:r>
      <w:r w:rsidR="00227020">
        <w:rPr>
          <w:lang w:val="en-AU"/>
        </w:rPr>
        <w:t>;</w:t>
      </w:r>
      <w:r w:rsidRPr="00A57F4B">
        <w:rPr>
          <w:lang w:val="en-AU"/>
        </w:rPr>
        <w:t xml:space="preserve"> later examples such as Jabiluka were often mentioned. The contentious nature of uranium mining, including failed protests to stop the Ranger Mine and Olympic Dam, as well as successful ones</w:t>
      </w:r>
      <w:r w:rsidR="00CC4F6C" w:rsidRPr="00A57F4B">
        <w:rPr>
          <w:lang w:val="en-AU"/>
        </w:rPr>
        <w:t>,</w:t>
      </w:r>
      <w:r w:rsidRPr="00A57F4B">
        <w:rPr>
          <w:lang w:val="en-AU"/>
        </w:rPr>
        <w:t xml:space="preserve"> such as Bob Hawke’s intervention to stop Coronation Hill in 1991 and the Jabiluka protests</w:t>
      </w:r>
      <w:r w:rsidR="00CC4F6C" w:rsidRPr="00A57F4B">
        <w:rPr>
          <w:lang w:val="en-AU"/>
        </w:rPr>
        <w:t>,</w:t>
      </w:r>
      <w:r w:rsidRPr="00A57F4B">
        <w:rPr>
          <w:lang w:val="en-AU"/>
        </w:rPr>
        <w:t xml:space="preserve"> </w:t>
      </w:r>
      <w:r w:rsidR="00CC4F6C" w:rsidRPr="00A57F4B">
        <w:rPr>
          <w:lang w:val="en-AU"/>
        </w:rPr>
        <w:t xml:space="preserve">were </w:t>
      </w:r>
      <w:r w:rsidRPr="00A57F4B">
        <w:rPr>
          <w:lang w:val="en-AU"/>
        </w:rPr>
        <w:t xml:space="preserve">frequently used. More recent debates over coal mining and climate change were also mentioned, including the Howard government’s failure to ratify the Kyoto Protocol and the Australian Coal Council’s successful </w:t>
      </w:r>
      <w:r w:rsidR="000B5775" w:rsidRPr="00A57F4B">
        <w:rPr>
          <w:lang w:val="en-AU"/>
        </w:rPr>
        <w:t>‘</w:t>
      </w:r>
      <w:r w:rsidRPr="00A57F4B">
        <w:rPr>
          <w:lang w:val="en-AU"/>
        </w:rPr>
        <w:t>Cut Emissions, Not Jobs</w:t>
      </w:r>
      <w:r w:rsidR="000B5775" w:rsidRPr="00A57F4B">
        <w:rPr>
          <w:lang w:val="en-AU"/>
        </w:rPr>
        <w:t>’</w:t>
      </w:r>
      <w:r w:rsidRPr="00A57F4B">
        <w:rPr>
          <w:lang w:val="en-AU"/>
        </w:rPr>
        <w:t xml:space="preserve"> campaign against the Rudd government</w:t>
      </w:r>
      <w:r w:rsidR="000B5775" w:rsidRPr="00A57F4B">
        <w:rPr>
          <w:lang w:val="en-AU"/>
        </w:rPr>
        <w:t>’</w:t>
      </w:r>
      <w:r w:rsidRPr="00A57F4B">
        <w:rPr>
          <w:lang w:val="en-AU"/>
        </w:rPr>
        <w:t>s proposed Carbon Pollution Reduction Scheme.</w:t>
      </w:r>
      <w:r w:rsidR="00CC564A" w:rsidRPr="00A57F4B">
        <w:rPr>
          <w:lang w:val="en-AU"/>
        </w:rPr>
        <w:t xml:space="preserve"> </w:t>
      </w:r>
      <w:r w:rsidRPr="00A57F4B">
        <w:rPr>
          <w:lang w:val="en-AU"/>
        </w:rPr>
        <w:t>However, many students also described the gold rushes of the 1850s as a period when the benefits of mining outweighed the environmental impact, although this example was well outside the prescribed time frame.</w:t>
      </w:r>
    </w:p>
    <w:p w14:paraId="3177BA49" w14:textId="0473E31B" w:rsidR="00774326" w:rsidRPr="00A57F4B" w:rsidRDefault="00774326" w:rsidP="00A45B23">
      <w:pPr>
        <w:pStyle w:val="VCAAbody"/>
        <w:rPr>
          <w:lang w:val="en-AU"/>
        </w:rPr>
      </w:pPr>
      <w:r w:rsidRPr="00A57F4B">
        <w:rPr>
          <w:lang w:val="en-AU"/>
        </w:rPr>
        <w:t xml:space="preserve">Below is an example of a </w:t>
      </w:r>
      <w:r w:rsidR="000B5775" w:rsidRPr="00A57F4B">
        <w:rPr>
          <w:lang w:val="en-AU"/>
        </w:rPr>
        <w:t>mid-range</w:t>
      </w:r>
      <w:r w:rsidRPr="00A57F4B">
        <w:rPr>
          <w:lang w:val="en-AU"/>
        </w:rPr>
        <w:t xml:space="preserve"> response that develops a coherent</w:t>
      </w:r>
      <w:r w:rsidR="00C92C78" w:rsidRPr="00A57F4B">
        <w:rPr>
          <w:lang w:val="en-AU"/>
        </w:rPr>
        <w:t xml:space="preserve"> and</w:t>
      </w:r>
      <w:r w:rsidRPr="00A57F4B">
        <w:rPr>
          <w:lang w:val="en-AU"/>
        </w:rPr>
        <w:t xml:space="preserve"> conventional line of argument in the introduction, followed by a paragraph that provides some limited</w:t>
      </w:r>
      <w:r w:rsidR="000E49D5" w:rsidRPr="00A57F4B">
        <w:rPr>
          <w:lang w:val="en-AU"/>
        </w:rPr>
        <w:t xml:space="preserve"> explanation and</w:t>
      </w:r>
      <w:r w:rsidRPr="00A57F4B">
        <w:rPr>
          <w:lang w:val="en-AU"/>
        </w:rPr>
        <w:t xml:space="preserve"> evidence of opposition to mining in Australia.</w:t>
      </w:r>
      <w:r w:rsidR="00CC564A" w:rsidRPr="00A57F4B">
        <w:rPr>
          <w:lang w:val="en-AU"/>
        </w:rPr>
        <w:t xml:space="preserve"> </w:t>
      </w:r>
    </w:p>
    <w:p w14:paraId="1DCEF659" w14:textId="57A559FC" w:rsidR="00F75184" w:rsidRPr="00A57F4B" w:rsidRDefault="00F75184" w:rsidP="00262870">
      <w:pPr>
        <w:pStyle w:val="VCAAstudentexample"/>
        <w:ind w:left="284"/>
      </w:pPr>
      <w:r w:rsidRPr="00A57F4B">
        <w:t>From 1950, Australians began to believe that the benefits of the mining industry do not outweigh the environmental impacts.</w:t>
      </w:r>
      <w:r w:rsidR="00CC564A" w:rsidRPr="00A57F4B">
        <w:t xml:space="preserve"> </w:t>
      </w:r>
      <w:r w:rsidRPr="00A57F4B">
        <w:t>Much of Australia’s economic wealth was built off mining, historian Geoffrey Blainey notes “no other country in the world has been so quickly transformed by metals”.</w:t>
      </w:r>
      <w:r w:rsidR="00CC564A" w:rsidRPr="00A57F4B">
        <w:t xml:space="preserve"> </w:t>
      </w:r>
      <w:r w:rsidRPr="00A57F4B">
        <w:t xml:space="preserve">But after 1950, social, political and cultural ideas about mining began to shift, instead identifying the environmental damage caused by mining often outweighs the benefits. </w:t>
      </w:r>
    </w:p>
    <w:p w14:paraId="63833740" w14:textId="5F173862" w:rsidR="00F75184" w:rsidRPr="00A57F4B" w:rsidRDefault="00F75184" w:rsidP="00262870">
      <w:pPr>
        <w:pStyle w:val="VCAAstudentexample"/>
        <w:ind w:left="284"/>
      </w:pPr>
      <w:r w:rsidRPr="00A57F4B">
        <w:t>Since 1950, Australia has undergone a social shift that favours environmental conservation over the benefits of mining.</w:t>
      </w:r>
      <w:r w:rsidR="00CC564A" w:rsidRPr="00A57F4B">
        <w:t xml:space="preserve"> </w:t>
      </w:r>
      <w:r w:rsidRPr="00A57F4B">
        <w:t>Instead of viewing mining as an act that must occur, it is instead criticized for its environmental harm.</w:t>
      </w:r>
      <w:r w:rsidR="00CC564A" w:rsidRPr="00A57F4B">
        <w:t xml:space="preserve"> </w:t>
      </w:r>
      <w:r w:rsidRPr="00A57F4B">
        <w:t>Campaigns to stop large mines from being built have become more popular, reflecting this shift.</w:t>
      </w:r>
      <w:r w:rsidR="00CC564A" w:rsidRPr="00A57F4B">
        <w:t xml:space="preserve"> </w:t>
      </w:r>
      <w:r w:rsidRPr="00A57F4B">
        <w:t>The Jabiluka campaign of 1998 is one such example which gained national attention, in turn, informing other Australians of the negatives of mining.</w:t>
      </w:r>
      <w:r w:rsidR="00CC564A" w:rsidRPr="00A57F4B">
        <w:t xml:space="preserve"> </w:t>
      </w:r>
      <w:r w:rsidRPr="00A57F4B">
        <w:t xml:space="preserve">Another example </w:t>
      </w:r>
      <w:r w:rsidR="004C247F" w:rsidRPr="00A57F4B">
        <w:t>i</w:t>
      </w:r>
      <w:r w:rsidR="004C247F">
        <w:t>s</w:t>
      </w:r>
      <w:r w:rsidR="004C247F" w:rsidRPr="00A57F4B">
        <w:t xml:space="preserve"> </w:t>
      </w:r>
      <w:r w:rsidRPr="00A57F4B">
        <w:t>the Coronation Hill protest.</w:t>
      </w:r>
      <w:r w:rsidR="00CC564A" w:rsidRPr="00A57F4B">
        <w:t xml:space="preserve"> </w:t>
      </w:r>
      <w:r w:rsidRPr="00A57F4B">
        <w:t>Both of these campaigns reflect the social shift favouring environmental conservation over the benefits of mining.</w:t>
      </w:r>
    </w:p>
    <w:p w14:paraId="11799F79" w14:textId="5A1A9975" w:rsidR="00BB64D5" w:rsidRPr="00A57F4B" w:rsidRDefault="00BB64D5" w:rsidP="00BB64D5">
      <w:pPr>
        <w:pStyle w:val="VCAAHeading3"/>
        <w:rPr>
          <w:lang w:val="en-AU"/>
        </w:rPr>
      </w:pPr>
      <w:r w:rsidRPr="00A57F4B">
        <w:rPr>
          <w:lang w:val="en-AU"/>
        </w:rPr>
        <w:t>Question 2</w:t>
      </w:r>
    </w:p>
    <w:p w14:paraId="113F9196" w14:textId="029A84B8" w:rsidR="00C2507C" w:rsidRPr="00A57F4B" w:rsidRDefault="00C2507C" w:rsidP="00C2507C">
      <w:pPr>
        <w:pStyle w:val="VCAAbody"/>
        <w:rPr>
          <w:lang w:val="en-AU"/>
        </w:rPr>
      </w:pPr>
      <w:r w:rsidRPr="00A57F4B">
        <w:rPr>
          <w:lang w:val="en-AU"/>
        </w:rPr>
        <w:t>Students were required to analyse the degree to which Australian society was repeatedly divided by competing perspectives on the intake of refugees from the 1970s until 2008. Many students argued that whil</w:t>
      </w:r>
      <w:r w:rsidR="00987FBE" w:rsidRPr="00A57F4B">
        <w:rPr>
          <w:lang w:val="en-AU"/>
        </w:rPr>
        <w:t>e</w:t>
      </w:r>
      <w:r w:rsidRPr="00A57F4B">
        <w:rPr>
          <w:lang w:val="en-AU"/>
        </w:rPr>
        <w:t xml:space="preserve"> Australians may have supported the initial group of refugees, this attitude began to waver after 1976 as Vietnamese refugees were accepted into Australia. Attitudes hardened towards those who arrived by boat and those authorised refugees who were officially selected by government officials. Students referred to Bob Hawke’s offer of asylum to Chinese students at the time of the 1989 Tiananmen Square Massacre, boat refugees from Afghanistan, Iran and Iraq from 1999</w:t>
      </w:r>
      <w:r w:rsidR="00132087" w:rsidRPr="00A57F4B">
        <w:rPr>
          <w:lang w:val="en-AU"/>
        </w:rPr>
        <w:t>,</w:t>
      </w:r>
      <w:r w:rsidRPr="00A57F4B">
        <w:rPr>
          <w:lang w:val="en-AU"/>
        </w:rPr>
        <w:t xml:space="preserve"> and the Tampa crisis of 2001. Reference to the Blainey controversy in 1984 and the decisions of the Howard government in their treatment of refugees seeking asylum and Pauline Hanson’s maiden speech in 1996 were referred to in their analysis. High-scoring responses began with an introduction that clearly asserted their argument or contention</w:t>
      </w:r>
      <w:r w:rsidR="00132087" w:rsidRPr="00A57F4B">
        <w:rPr>
          <w:lang w:val="en-AU"/>
        </w:rPr>
        <w:t>, as demonstrated in the following example.</w:t>
      </w:r>
    </w:p>
    <w:p w14:paraId="3705D43E" w14:textId="77777777" w:rsidR="00DD2096" w:rsidRPr="00A57F4B" w:rsidRDefault="00C2507C" w:rsidP="00F925EE">
      <w:pPr>
        <w:pStyle w:val="VCAAstudentexample"/>
        <w:ind w:left="284"/>
      </w:pPr>
      <w:r w:rsidRPr="00A57F4B">
        <w:lastRenderedPageBreak/>
        <w:t xml:space="preserve">Historically, Australia has held widely competing beliefs regarding the intake of refugees between 1970’s to 2008. The humanitarian crisis of the Vietnam war helped to soften Australian attitudes to multiculturalism and refugees, yet left Australia vulnerable to mass migration prompted by illegal immigration. Thus, to a certain extent, Australia has been repeatedly divided by immigration debates regarding the intake of refugees and the overall benefit to be made for Australian society. </w:t>
      </w:r>
    </w:p>
    <w:p w14:paraId="01E7AE64" w14:textId="221B45CD" w:rsidR="00BB64D5" w:rsidRPr="00A57F4B" w:rsidRDefault="00C2507C" w:rsidP="00C2507C">
      <w:pPr>
        <w:pStyle w:val="VCAAbody"/>
        <w:rPr>
          <w:lang w:val="en-AU"/>
        </w:rPr>
      </w:pPr>
      <w:r w:rsidRPr="00A57F4B">
        <w:rPr>
          <w:lang w:val="en-AU"/>
        </w:rPr>
        <w:t>This introduction established a relevant line of argument</w:t>
      </w:r>
      <w:r w:rsidR="004C247F">
        <w:rPr>
          <w:lang w:val="en-AU"/>
        </w:rPr>
        <w:t>,</w:t>
      </w:r>
      <w:r w:rsidRPr="00A57F4B">
        <w:rPr>
          <w:lang w:val="en-AU"/>
        </w:rPr>
        <w:t xml:space="preserve"> and the topic sentences that followed presented other elements of the argument supported by a range of appropriate evidence in analysing the degree of division caused by the competing perspectives on the intake of refugees. High-scoring responses were characterised by reference to accurate detail and a recognition of the complexity of the competing perspectives.</w:t>
      </w:r>
      <w:r w:rsidR="00870E3D" w:rsidRPr="00A57F4B">
        <w:rPr>
          <w:lang w:val="en-AU"/>
        </w:rPr>
        <w:t xml:space="preserve"> M</w:t>
      </w:r>
      <w:r w:rsidRPr="00A57F4B">
        <w:rPr>
          <w:lang w:val="en-AU"/>
        </w:rPr>
        <w:t>ost students structured their essays effectively</w:t>
      </w:r>
      <w:r w:rsidR="004C247F">
        <w:rPr>
          <w:lang w:val="en-AU"/>
        </w:rPr>
        <w:t>;</w:t>
      </w:r>
      <w:r w:rsidRPr="00A57F4B">
        <w:rPr>
          <w:lang w:val="en-AU"/>
        </w:rPr>
        <w:t xml:space="preserve"> however responses </w:t>
      </w:r>
      <w:r w:rsidR="00197225" w:rsidRPr="00A57F4B">
        <w:rPr>
          <w:lang w:val="en-AU"/>
        </w:rPr>
        <w:t xml:space="preserve">that did not score well </w:t>
      </w:r>
      <w:r w:rsidRPr="00A57F4B">
        <w:rPr>
          <w:lang w:val="en-AU"/>
        </w:rPr>
        <w:t>did not refer to a varied and accurate range of primary and secondary evidence to give their responses depth.</w:t>
      </w:r>
    </w:p>
    <w:p w14:paraId="6C9D60FE" w14:textId="7F1EBD6E" w:rsidR="00BB64D5" w:rsidRPr="00A57F4B" w:rsidRDefault="00BB64D5" w:rsidP="00BB64D5">
      <w:pPr>
        <w:pStyle w:val="VCAAHeading3"/>
        <w:rPr>
          <w:lang w:val="en-AU"/>
        </w:rPr>
      </w:pPr>
      <w:r w:rsidRPr="00A57F4B">
        <w:rPr>
          <w:lang w:val="en-AU"/>
        </w:rPr>
        <w:t>Question 3</w:t>
      </w:r>
    </w:p>
    <w:p w14:paraId="04580B39" w14:textId="03EA2FD6" w:rsidR="009A04D8" w:rsidRPr="00A57F4B" w:rsidRDefault="009A04D8" w:rsidP="00BB64D5">
      <w:pPr>
        <w:pStyle w:val="VCAAbody"/>
        <w:rPr>
          <w:lang w:val="en-AU"/>
        </w:rPr>
      </w:pPr>
      <w:r w:rsidRPr="00A57F4B">
        <w:rPr>
          <w:lang w:val="en-AU"/>
        </w:rPr>
        <w:t>Students were asked to evaluate whether Australia created, through legislation, a more equal and fairer society between 1957 and 1998.</w:t>
      </w:r>
      <w:r w:rsidR="00CC564A" w:rsidRPr="00A57F4B">
        <w:rPr>
          <w:lang w:val="en-AU"/>
        </w:rPr>
        <w:t xml:space="preserve"> </w:t>
      </w:r>
      <w:r w:rsidRPr="00A57F4B">
        <w:rPr>
          <w:lang w:val="en-AU"/>
        </w:rPr>
        <w:t>There were different ways in which this question could be approached.</w:t>
      </w:r>
      <w:r w:rsidR="00CC564A" w:rsidRPr="00A57F4B">
        <w:rPr>
          <w:lang w:val="en-AU"/>
        </w:rPr>
        <w:t xml:space="preserve"> </w:t>
      </w:r>
      <w:r w:rsidRPr="00A57F4B">
        <w:rPr>
          <w:lang w:val="en-AU"/>
        </w:rPr>
        <w:t>One approach was to evaluate change versus continuity achieved by legislation in terms of equality and fairness in Australian society.</w:t>
      </w:r>
      <w:r w:rsidR="00CC564A" w:rsidRPr="00A57F4B">
        <w:rPr>
          <w:lang w:val="en-AU"/>
        </w:rPr>
        <w:t xml:space="preserve"> </w:t>
      </w:r>
      <w:r w:rsidRPr="00A57F4B">
        <w:rPr>
          <w:lang w:val="en-AU"/>
        </w:rPr>
        <w:t>Many students were able to challenge the premise and identify inequalities that persisted, particularly for women, Aboriginal people and LGBTQIA+ people by the end of the specified time period.</w:t>
      </w:r>
      <w:r w:rsidR="00CC564A" w:rsidRPr="00A57F4B">
        <w:rPr>
          <w:lang w:val="en-AU"/>
        </w:rPr>
        <w:t xml:space="preserve"> </w:t>
      </w:r>
      <w:r w:rsidRPr="00A57F4B">
        <w:rPr>
          <w:lang w:val="en-AU"/>
        </w:rPr>
        <w:t>For this approach, it was important that students were able to analyse the impacts of legislation and evaluate the extent to which they create</w:t>
      </w:r>
      <w:r w:rsidR="00C7477C" w:rsidRPr="00A57F4B">
        <w:rPr>
          <w:lang w:val="en-AU"/>
        </w:rPr>
        <w:t>d</w:t>
      </w:r>
      <w:r w:rsidRPr="00A57F4B">
        <w:rPr>
          <w:lang w:val="en-AU"/>
        </w:rPr>
        <w:t xml:space="preserve"> a more equal and fairer society, rather than simply listing relevant laws.</w:t>
      </w:r>
    </w:p>
    <w:p w14:paraId="3353962D" w14:textId="4A39E555" w:rsidR="009A04D8" w:rsidRPr="00A57F4B" w:rsidRDefault="009A04D8" w:rsidP="00BB64D5">
      <w:pPr>
        <w:pStyle w:val="VCAAbody"/>
        <w:rPr>
          <w:lang w:val="en-AU"/>
        </w:rPr>
      </w:pPr>
      <w:r w:rsidRPr="00A57F4B">
        <w:rPr>
          <w:lang w:val="en-AU"/>
        </w:rPr>
        <w:t>An alternative approach to this response was to compare and evaluate the differing causes of progress in terms of fairness and equality, and some students argued that change was achieved more so through protest and grassroots campaigns rather than by legislation, or by legislation alone.</w:t>
      </w:r>
    </w:p>
    <w:p w14:paraId="0B306D7D" w14:textId="1DCB0BB6" w:rsidR="003B6F4E" w:rsidRPr="00A57F4B" w:rsidRDefault="003B6F4E" w:rsidP="00BB64D5">
      <w:pPr>
        <w:pStyle w:val="VCAAbody"/>
        <w:rPr>
          <w:lang w:val="en-AU"/>
        </w:rPr>
      </w:pPr>
      <w:r w:rsidRPr="00A57F4B">
        <w:rPr>
          <w:lang w:val="en-AU"/>
        </w:rPr>
        <w:t xml:space="preserve">The following is an example of a </w:t>
      </w:r>
      <w:r w:rsidR="00C7477C" w:rsidRPr="00A57F4B">
        <w:rPr>
          <w:lang w:val="en-AU"/>
        </w:rPr>
        <w:t>common</w:t>
      </w:r>
      <w:r w:rsidRPr="00A57F4B">
        <w:rPr>
          <w:lang w:val="en-AU"/>
        </w:rPr>
        <w:t xml:space="preserve"> line of argument in the introduction</w:t>
      </w:r>
      <w:r w:rsidR="00C7477C" w:rsidRPr="00A57F4B">
        <w:rPr>
          <w:lang w:val="en-AU"/>
        </w:rPr>
        <w:t>.</w:t>
      </w:r>
    </w:p>
    <w:p w14:paraId="3CB8D7D7" w14:textId="6A7F95FD" w:rsidR="003B6F4E" w:rsidRPr="00A57F4B" w:rsidRDefault="003B6F4E" w:rsidP="00262870">
      <w:pPr>
        <w:pStyle w:val="VCAAstudentexample"/>
        <w:ind w:left="284"/>
      </w:pPr>
      <w:r w:rsidRPr="00A57F4B">
        <w:t>From 1957 to 1998, legislation was enacted that reflected Australia’s aspirations as a social laboratory.</w:t>
      </w:r>
      <w:r w:rsidR="00CC564A" w:rsidRPr="00A57F4B">
        <w:t xml:space="preserve"> </w:t>
      </w:r>
      <w:r w:rsidRPr="00A57F4B">
        <w:t>As a result of key legislative reforms, women, Indigenous Australians and LGBTQIA+ people benefited.</w:t>
      </w:r>
      <w:r w:rsidR="00CC564A" w:rsidRPr="00A57F4B">
        <w:t xml:space="preserve"> </w:t>
      </w:r>
      <w:r w:rsidRPr="00A57F4B">
        <w:t>Nonetheless, the extent to which equality was achieved as a result of legislation remained limited.</w:t>
      </w:r>
    </w:p>
    <w:p w14:paraId="36199597" w14:textId="3528AB68" w:rsidR="00AD7FE9" w:rsidRPr="00A57F4B" w:rsidRDefault="00AD7FE9" w:rsidP="00BB64D5">
      <w:pPr>
        <w:pStyle w:val="VCAAbody"/>
        <w:rPr>
          <w:lang w:val="en-AU"/>
        </w:rPr>
      </w:pPr>
      <w:r w:rsidRPr="00A57F4B">
        <w:rPr>
          <w:lang w:val="en-AU"/>
        </w:rPr>
        <w:t xml:space="preserve">The next </w:t>
      </w:r>
      <w:r w:rsidR="00E241E6" w:rsidRPr="00A57F4B">
        <w:rPr>
          <w:lang w:val="en-AU"/>
        </w:rPr>
        <w:t xml:space="preserve">two </w:t>
      </w:r>
      <w:r w:rsidRPr="00A57F4B">
        <w:rPr>
          <w:lang w:val="en-AU"/>
        </w:rPr>
        <w:t xml:space="preserve">paragraphs provide detailed and relevant knowledge, but could have distinguished </w:t>
      </w:r>
      <w:r w:rsidR="00E241E6" w:rsidRPr="00A57F4B">
        <w:rPr>
          <w:lang w:val="en-AU"/>
        </w:rPr>
        <w:t xml:space="preserve">more clearly </w:t>
      </w:r>
      <w:r w:rsidRPr="00A57F4B">
        <w:rPr>
          <w:lang w:val="en-AU"/>
        </w:rPr>
        <w:t>between judicial rulings and legislation to fully engage with the specific essay question</w:t>
      </w:r>
      <w:r w:rsidRPr="00A57F4B">
        <w:rPr>
          <w:rStyle w:val="VCAAstudentexampleChar"/>
        </w:rPr>
        <w:t xml:space="preserve">. </w:t>
      </w:r>
      <w:r w:rsidRPr="00A57F4B">
        <w:rPr>
          <w:lang w:val="en-AU"/>
        </w:rPr>
        <w:t xml:space="preserve">Nevertheless, this response makes a persuasive argument that is relevant throughout, and combines accurate and detailed knowledge of the topic with a wide range of relevant </w:t>
      </w:r>
      <w:r w:rsidR="00E241E6" w:rsidRPr="00A57F4B">
        <w:rPr>
          <w:lang w:val="en-AU"/>
        </w:rPr>
        <w:t>of examples and quotes from historians and from the period as evidence.</w:t>
      </w:r>
    </w:p>
    <w:p w14:paraId="560FE962" w14:textId="7BC10533" w:rsidR="003B6F4E" w:rsidRPr="00A57F4B" w:rsidRDefault="003B6F4E" w:rsidP="00262870">
      <w:pPr>
        <w:pStyle w:val="VCAAstudentexample"/>
        <w:ind w:left="284"/>
      </w:pPr>
      <w:r w:rsidRPr="00A57F4B">
        <w:t>The women’s liberation movement achieved landmark legislative changes.</w:t>
      </w:r>
      <w:r w:rsidR="00CC564A" w:rsidRPr="00A57F4B">
        <w:t xml:space="preserve"> </w:t>
      </w:r>
      <w:r w:rsidRPr="00A57F4B">
        <w:t xml:space="preserve">In the realm of reproductive rights, women gained increased bodily agency with the 1969 </w:t>
      </w:r>
      <w:proofErr w:type="spellStart"/>
      <w:r w:rsidRPr="00A57F4B">
        <w:t>Menhennit</w:t>
      </w:r>
      <w:r w:rsidR="00AD7FE9" w:rsidRPr="00A57F4B">
        <w:t>t</w:t>
      </w:r>
      <w:proofErr w:type="spellEnd"/>
      <w:r w:rsidRPr="00A57F4B">
        <w:t xml:space="preserve"> ruling.</w:t>
      </w:r>
      <w:r w:rsidR="00CC564A" w:rsidRPr="00A57F4B">
        <w:t xml:space="preserve"> </w:t>
      </w:r>
      <w:r w:rsidRPr="00A57F4B">
        <w:t>While abortion remained officially illegal, this untested ruling permitted the performance of an abortion, if it was deemed necessary for the health of the mother.</w:t>
      </w:r>
      <w:r w:rsidR="00CC564A" w:rsidRPr="00A57F4B">
        <w:t xml:space="preserve"> </w:t>
      </w:r>
      <w:r w:rsidR="00AD7FE9" w:rsidRPr="00A57F4B">
        <w:t>Consequently, abortion related complications reduced significantly throughout the 1970s as women were granted access to safe procedures.</w:t>
      </w:r>
      <w:r w:rsidR="00CC564A" w:rsidRPr="00A57F4B">
        <w:t xml:space="preserve"> </w:t>
      </w:r>
      <w:r w:rsidR="00AD7FE9" w:rsidRPr="00A57F4B">
        <w:t>Additionally, the 1984 Sex Discrimination Act was pivotal in promoting equality in the workplace.</w:t>
      </w:r>
      <w:r w:rsidR="00CC564A" w:rsidRPr="00A57F4B">
        <w:t xml:space="preserve"> </w:t>
      </w:r>
      <w:r w:rsidR="00AD7FE9" w:rsidRPr="00A57F4B">
        <w:t>It was promoted by ACT Senator Susan Ryan as a means of bringing women out of the ‘employment ghetto’.</w:t>
      </w:r>
      <w:r w:rsidR="00CC564A" w:rsidRPr="00A57F4B">
        <w:t xml:space="preserve"> </w:t>
      </w:r>
      <w:r w:rsidR="00AD7FE9" w:rsidRPr="00A57F4B">
        <w:t>The Act provided a means for women to seek redress when faced with discrimination at work, emphasizing their equal status as workers in society.</w:t>
      </w:r>
      <w:r w:rsidR="00CC564A" w:rsidRPr="00A57F4B">
        <w:t xml:space="preserve"> </w:t>
      </w:r>
      <w:r w:rsidR="00AD7FE9" w:rsidRPr="00A57F4B">
        <w:t>Nonetheless, the legislation was limited by its focus on conciliation.</w:t>
      </w:r>
      <w:r w:rsidR="00CC564A" w:rsidRPr="00A57F4B">
        <w:t xml:space="preserve"> </w:t>
      </w:r>
      <w:r w:rsidR="00AD7FE9" w:rsidRPr="00A57F4B">
        <w:t>It could not, for example, force an employer to reinstate a woman in her job</w:t>
      </w:r>
      <w:bookmarkStart w:id="2" w:name="_Hlk122086514"/>
      <w:r w:rsidR="00AD7FE9" w:rsidRPr="00A57F4B">
        <w:t>.</w:t>
      </w:r>
      <w:bookmarkEnd w:id="2"/>
      <w:r w:rsidR="00CC564A" w:rsidRPr="00A57F4B">
        <w:t xml:space="preserve"> </w:t>
      </w:r>
      <w:r w:rsidR="00AD7FE9" w:rsidRPr="00A57F4B">
        <w:t>In spite of these limitations, this legislation, along with other reforms to the legal rights of women at work (such as the lifting of the marriage bar in public service in 1966) legitimized the employment of women.</w:t>
      </w:r>
      <w:r w:rsidR="00CC564A" w:rsidRPr="00A57F4B">
        <w:t xml:space="preserve"> </w:t>
      </w:r>
      <w:r w:rsidR="00AD7FE9" w:rsidRPr="00A57F4B">
        <w:t>Thus, social and economic legislation enshrined gender equality in twentieth century Australia.</w:t>
      </w:r>
    </w:p>
    <w:p w14:paraId="4FBF85C5" w14:textId="38CE2203" w:rsidR="00AD7FE9" w:rsidRPr="00A57F4B" w:rsidRDefault="00AD7FE9" w:rsidP="00262870">
      <w:pPr>
        <w:pStyle w:val="VCAAstudentexample"/>
        <w:ind w:left="284"/>
      </w:pPr>
      <w:r w:rsidRPr="00A57F4B">
        <w:lastRenderedPageBreak/>
        <w:t>Indigenous Australians also benefited from legislation promoting inclusion and a recognition of their distinct rights as the original occupants of the land</w:t>
      </w:r>
      <w:r w:rsidR="00E241E6" w:rsidRPr="00A57F4B">
        <w:t>.</w:t>
      </w:r>
      <w:r w:rsidR="00CC564A" w:rsidRPr="00A57F4B">
        <w:t xml:space="preserve"> </w:t>
      </w:r>
      <w:r w:rsidR="00E241E6" w:rsidRPr="00A57F4B">
        <w:t>The Racial Discrimination Act (1975) made it illegal to discriminate against people on the grounds of race in areas such as employment and the distribution of goods and services.</w:t>
      </w:r>
      <w:r w:rsidR="00CC564A" w:rsidRPr="00A57F4B">
        <w:t xml:space="preserve"> </w:t>
      </w:r>
      <w:r w:rsidR="00E241E6" w:rsidRPr="00A57F4B">
        <w:t>This reflected an increase intolerance of bigotry and prejudice.</w:t>
      </w:r>
      <w:r w:rsidR="00CC564A" w:rsidRPr="00A57F4B">
        <w:t xml:space="preserve"> </w:t>
      </w:r>
      <w:r w:rsidR="00E241E6" w:rsidRPr="00A57F4B">
        <w:t>Additionally, native title legislation was fundamental in recognizing Indigenous rights to the land.</w:t>
      </w:r>
      <w:r w:rsidR="00CC564A" w:rsidRPr="00A57F4B">
        <w:t xml:space="preserve"> </w:t>
      </w:r>
      <w:r w:rsidR="00E241E6" w:rsidRPr="00A57F4B">
        <w:t>Following Mabo’s successful claim to Mer Island, handed down in the 1992 Mabo Judgement, vacant crown land was made available to Indigenous Australians, so long as they could provide a continuing connection with the land.</w:t>
      </w:r>
      <w:r w:rsidR="00CC564A" w:rsidRPr="00A57F4B">
        <w:t xml:space="preserve"> </w:t>
      </w:r>
      <w:r w:rsidR="00E241E6" w:rsidRPr="00A57F4B">
        <w:t>Described by Paul Keating as a ‘practical building block of change’, there was nonetheless an attempt to ‘wind back’ their gains under the Howard Government (Broome).</w:t>
      </w:r>
      <w:r w:rsidR="00CC564A" w:rsidRPr="00A57F4B">
        <w:t xml:space="preserve"> </w:t>
      </w:r>
      <w:r w:rsidR="00E241E6" w:rsidRPr="00A57F4B">
        <w:t>The Native Title Amendment Act (1998) made it a much more complex process for Indigenous Australians to claim native title, a conservative reaction against Indigenous rights.</w:t>
      </w:r>
      <w:r w:rsidR="00CC564A" w:rsidRPr="00A57F4B">
        <w:t xml:space="preserve"> </w:t>
      </w:r>
      <w:r w:rsidR="00E241E6" w:rsidRPr="00A57F4B">
        <w:t>Thus, while Indigenous people gained from legislation, full quality was not reached by 1998.</w:t>
      </w:r>
    </w:p>
    <w:p w14:paraId="1AA327DD" w14:textId="0BF86FE6" w:rsidR="00BB64D5" w:rsidRPr="00A57F4B" w:rsidRDefault="00BB64D5" w:rsidP="00BB64D5">
      <w:pPr>
        <w:pStyle w:val="VCAAHeading3"/>
        <w:rPr>
          <w:lang w:val="en-AU"/>
        </w:rPr>
      </w:pPr>
      <w:r w:rsidRPr="00A57F4B">
        <w:rPr>
          <w:lang w:val="en-AU"/>
        </w:rPr>
        <w:t>Question 4</w:t>
      </w:r>
    </w:p>
    <w:p w14:paraId="0A9601EA" w14:textId="647C5DEC" w:rsidR="00C2507C" w:rsidRPr="00A57F4B" w:rsidRDefault="00C2507C" w:rsidP="00C2507C">
      <w:pPr>
        <w:pStyle w:val="VCAAbody"/>
        <w:rPr>
          <w:lang w:val="en-AU"/>
        </w:rPr>
      </w:pPr>
      <w:r w:rsidRPr="00A57F4B">
        <w:rPr>
          <w:lang w:val="en-AU"/>
        </w:rPr>
        <w:t xml:space="preserve">Students were asked to analyse the extent </w:t>
      </w:r>
      <w:r w:rsidR="005E19A8" w:rsidRPr="00A57F4B">
        <w:rPr>
          <w:lang w:val="en-AU"/>
        </w:rPr>
        <w:t xml:space="preserve">to which </w:t>
      </w:r>
      <w:r w:rsidRPr="00A57F4B">
        <w:rPr>
          <w:lang w:val="en-AU"/>
        </w:rPr>
        <w:t>Australia’s armed forces after 1950 became more accommodating of people of different races, genders and sexualities. Higher</w:t>
      </w:r>
      <w:r w:rsidR="00971EBC" w:rsidRPr="00A57F4B">
        <w:rPr>
          <w:lang w:val="en-AU"/>
        </w:rPr>
        <w:t xml:space="preserve">-scoring </w:t>
      </w:r>
      <w:r w:rsidRPr="00A57F4B">
        <w:rPr>
          <w:lang w:val="en-AU"/>
        </w:rPr>
        <w:t>responses fulfilled the demands of the question whil</w:t>
      </w:r>
      <w:r w:rsidR="005A0963" w:rsidRPr="00A57F4B">
        <w:rPr>
          <w:lang w:val="en-AU"/>
        </w:rPr>
        <w:t>e</w:t>
      </w:r>
      <w:r w:rsidRPr="00A57F4B">
        <w:rPr>
          <w:lang w:val="en-AU"/>
        </w:rPr>
        <w:t xml:space="preserve"> addressing the key word</w:t>
      </w:r>
      <w:r w:rsidR="005A0963" w:rsidRPr="00A57F4B">
        <w:rPr>
          <w:lang w:val="en-AU"/>
        </w:rPr>
        <w:t>s</w:t>
      </w:r>
      <w:r w:rsidRPr="00A57F4B">
        <w:rPr>
          <w:lang w:val="en-AU"/>
        </w:rPr>
        <w:t xml:space="preserve"> ‘accommodating’ of </w:t>
      </w:r>
      <w:r w:rsidR="005A0963" w:rsidRPr="00A57F4B">
        <w:rPr>
          <w:lang w:val="en-AU"/>
        </w:rPr>
        <w:t>‘</w:t>
      </w:r>
      <w:r w:rsidRPr="00A57F4B">
        <w:rPr>
          <w:lang w:val="en-AU"/>
        </w:rPr>
        <w:t>different races, genders and sexualities’. The introductory paragraphs usually created a contention that although the defence force did become more accommodating towards people of different races, genders and sexualities, it was not an immediate reaction</w:t>
      </w:r>
      <w:r w:rsidR="004F2B0A" w:rsidRPr="00A57F4B">
        <w:rPr>
          <w:lang w:val="en-AU"/>
        </w:rPr>
        <w:t>,</w:t>
      </w:r>
      <w:r w:rsidRPr="00A57F4B">
        <w:rPr>
          <w:lang w:val="en-AU"/>
        </w:rPr>
        <w:t xml:space="preserve"> occurr</w:t>
      </w:r>
      <w:r w:rsidR="004F2B0A" w:rsidRPr="00A57F4B">
        <w:rPr>
          <w:lang w:val="en-AU"/>
        </w:rPr>
        <w:t>ing</w:t>
      </w:r>
      <w:r w:rsidRPr="00A57F4B">
        <w:rPr>
          <w:lang w:val="en-AU"/>
        </w:rPr>
        <w:t xml:space="preserve"> from 1950 to </w:t>
      </w:r>
      <w:r w:rsidR="004F2B0A" w:rsidRPr="00A57F4B">
        <w:rPr>
          <w:lang w:val="en-AU"/>
        </w:rPr>
        <w:t xml:space="preserve">the </w:t>
      </w:r>
      <w:r w:rsidRPr="00A57F4B">
        <w:rPr>
          <w:lang w:val="en-AU"/>
        </w:rPr>
        <w:t xml:space="preserve">1990s. </w:t>
      </w:r>
    </w:p>
    <w:p w14:paraId="37D42994" w14:textId="02E1B12C" w:rsidR="00C2507C" w:rsidRPr="00A57F4B" w:rsidRDefault="00C2507C" w:rsidP="00C2507C">
      <w:pPr>
        <w:pStyle w:val="VCAAbody"/>
        <w:rPr>
          <w:lang w:val="en-AU"/>
        </w:rPr>
      </w:pPr>
      <w:r w:rsidRPr="00A57F4B">
        <w:rPr>
          <w:lang w:val="en-AU"/>
        </w:rPr>
        <w:t xml:space="preserve">The following extract from a high-scoring response establishes a clear contention that is followed by a thoughtful and analytical paragraph </w:t>
      </w:r>
      <w:r w:rsidR="007F5AE9" w:rsidRPr="00A57F4B">
        <w:rPr>
          <w:lang w:val="en-AU"/>
        </w:rPr>
        <w:t>examining</w:t>
      </w:r>
      <w:r w:rsidRPr="00A57F4B">
        <w:rPr>
          <w:lang w:val="en-AU"/>
        </w:rPr>
        <w:t xml:space="preserve"> the gradual accommodation of Aboriginal and Torres Strait Islander </w:t>
      </w:r>
      <w:r w:rsidR="008F4651" w:rsidRPr="00A57F4B">
        <w:rPr>
          <w:lang w:val="en-AU"/>
        </w:rPr>
        <w:t>p</w:t>
      </w:r>
      <w:r w:rsidRPr="00A57F4B">
        <w:rPr>
          <w:lang w:val="en-AU"/>
        </w:rPr>
        <w:t>eople</w:t>
      </w:r>
      <w:r w:rsidR="008F4651" w:rsidRPr="00A57F4B">
        <w:rPr>
          <w:lang w:val="en-AU"/>
        </w:rPr>
        <w:t>s</w:t>
      </w:r>
      <w:r w:rsidRPr="00A57F4B">
        <w:rPr>
          <w:lang w:val="en-AU"/>
        </w:rPr>
        <w:t xml:space="preserve"> into Australia’s armed forces</w:t>
      </w:r>
      <w:r w:rsidR="00B16BC4" w:rsidRPr="00A57F4B">
        <w:rPr>
          <w:lang w:val="en-AU"/>
        </w:rPr>
        <w:t>.</w:t>
      </w:r>
    </w:p>
    <w:p w14:paraId="614BECBE" w14:textId="77777777" w:rsidR="00C2507C" w:rsidRPr="00A57F4B" w:rsidRDefault="00C2507C" w:rsidP="00F925EE">
      <w:pPr>
        <w:pStyle w:val="VCAAstudentexample"/>
        <w:ind w:left="284"/>
      </w:pPr>
      <w:r w:rsidRPr="00A57F4B">
        <w:t>After 1950, Australian armed forces did become more accommodating of Indigenous people, women and LGBTQIA+ people. However, this change did not occur immediately.</w:t>
      </w:r>
    </w:p>
    <w:p w14:paraId="38C62BB6" w14:textId="77777777" w:rsidR="00C2507C" w:rsidRPr="00A57F4B" w:rsidRDefault="00C2507C" w:rsidP="00262870">
      <w:pPr>
        <w:pStyle w:val="VCAAstudentexample"/>
        <w:ind w:left="284"/>
      </w:pPr>
      <w:r w:rsidRPr="00A57F4B">
        <w:t xml:space="preserve">Indigenous people had faced a history of rejection. Official Australian armed forces policy deeming them “neither necessary or desirable”, only allowing them to enlist in World War I and II as voluntary enlistment began to fall. Despite this many indigenous people were attracted to the armed forces, Historian Michael Adcock asserting that they “contributed more to the war effort than any other Australian community.” Their contribution to these wars beginning to change the perspectives of their fellow servicemen as Australia entered the 1950’s. In the 1950-52 Korean War Indigenous serviceman Reg Saunders served as a Captain, accredited with “great bravery” by those who served with him. However, on the </w:t>
      </w:r>
      <w:proofErr w:type="spellStart"/>
      <w:r w:rsidRPr="00A57F4B">
        <w:t>homefront</w:t>
      </w:r>
      <w:proofErr w:type="spellEnd"/>
      <w:r w:rsidRPr="00A57F4B">
        <w:t xml:space="preserve"> Saunders who had served as an officer in WWII was denied Soldier Settlement, the ADF unwilling to accommodate for him. The 1960’s saw great change for Indigenous Australians with the right to vote in 1962 and the 1967 Aboriginal referendum. This referendum enabled the 1975 Commonwealth Racial Discrimination Act which would force the Australian Armed forces to stop racial discrimination and change their official behaviour to become more accommodating of Indigenous people. This can be seen through the Pilbara Security Regiment established in the 1980’s that utilised “Indigenous knowledge of the land” in North Queensland. In 1992, saw the removal of the final discriminatory policy from the Australian Defence Act that prevented Indigenous people from National Service. This marked the change in attitude of Australia’s Armed Forces towards those of other races, from exclusion to the official recognition by PM Paul Keating through back pay and medals of honour. </w:t>
      </w:r>
    </w:p>
    <w:p w14:paraId="2587B42B" w14:textId="418B0860" w:rsidR="00C2507C" w:rsidRPr="00A57F4B" w:rsidRDefault="00C2507C" w:rsidP="00C2507C">
      <w:pPr>
        <w:pStyle w:val="VCAAbody"/>
        <w:rPr>
          <w:lang w:val="en-AU"/>
        </w:rPr>
      </w:pPr>
      <w:r w:rsidRPr="00A57F4B">
        <w:rPr>
          <w:lang w:val="en-AU"/>
        </w:rPr>
        <w:t>This paragraph was followed by reference to the gradual accommodation of LGBTQIA+ people in the armed forces</w:t>
      </w:r>
      <w:r w:rsidR="008F4651" w:rsidRPr="00A57F4B">
        <w:rPr>
          <w:lang w:val="en-AU"/>
        </w:rPr>
        <w:t>.</w:t>
      </w:r>
    </w:p>
    <w:p w14:paraId="6217A14C" w14:textId="77777777" w:rsidR="00C2507C" w:rsidRPr="00A57F4B" w:rsidRDefault="00C2507C" w:rsidP="00262870">
      <w:pPr>
        <w:pStyle w:val="VCAAstudentexample"/>
        <w:ind w:left="284"/>
      </w:pPr>
      <w:r w:rsidRPr="00A57F4B">
        <w:t xml:space="preserve">In 1950, those of differing sexualities or “homosexuals” were banned from the Australian Armed Forces and had been in line with British military codes since the Boer War. Historian Geoff Peel asserts that those of differing sexualities “faced great violence” from their peers. This exclusion continued into the </w:t>
      </w:r>
      <w:r w:rsidRPr="00A57F4B">
        <w:lastRenderedPageBreak/>
        <w:t xml:space="preserve">1970’s where investigations were conducted of those suspected of “homosexuality and had their homes </w:t>
      </w:r>
      <w:proofErr w:type="spellStart"/>
      <w:r w:rsidRPr="00A57F4B">
        <w:t>surveilled</w:t>
      </w:r>
      <w:proofErr w:type="spellEnd"/>
      <w:r w:rsidRPr="00A57F4B">
        <w:t xml:space="preserve">”. </w:t>
      </w:r>
    </w:p>
    <w:p w14:paraId="003D1677" w14:textId="2879E55C" w:rsidR="00BB64D5" w:rsidRPr="00A57F4B" w:rsidRDefault="00C2507C" w:rsidP="00C2507C">
      <w:pPr>
        <w:pStyle w:val="VCAAbody"/>
        <w:rPr>
          <w:lang w:val="en-AU"/>
        </w:rPr>
      </w:pPr>
      <w:r w:rsidRPr="00A57F4B">
        <w:rPr>
          <w:lang w:val="en-AU"/>
        </w:rPr>
        <w:t xml:space="preserve">The </w:t>
      </w:r>
      <w:r w:rsidR="00774326" w:rsidRPr="00A57F4B">
        <w:rPr>
          <w:lang w:val="en-AU"/>
        </w:rPr>
        <w:t>response</w:t>
      </w:r>
      <w:r w:rsidRPr="00A57F4B">
        <w:rPr>
          <w:lang w:val="en-AU"/>
        </w:rPr>
        <w:t xml:space="preserve"> goes on to demonstrate an understanding of the gradual change in the Armed Forces policy of acceptance of LGBTQIA+ people</w:t>
      </w:r>
      <w:r w:rsidR="00F265BD" w:rsidRPr="00A57F4B">
        <w:rPr>
          <w:lang w:val="en-AU"/>
        </w:rPr>
        <w:t>,</w:t>
      </w:r>
      <w:r w:rsidRPr="00A57F4B">
        <w:rPr>
          <w:lang w:val="en-AU"/>
        </w:rPr>
        <w:t xml:space="preserve"> followed by an </w:t>
      </w:r>
      <w:r w:rsidR="00F265BD" w:rsidRPr="00A57F4B">
        <w:rPr>
          <w:lang w:val="en-AU"/>
        </w:rPr>
        <w:t xml:space="preserve">in-depth </w:t>
      </w:r>
      <w:r w:rsidRPr="00A57F4B">
        <w:rPr>
          <w:lang w:val="en-AU"/>
        </w:rPr>
        <w:t xml:space="preserve">analysis </w:t>
      </w:r>
      <w:r w:rsidR="00F265BD" w:rsidRPr="00A57F4B">
        <w:rPr>
          <w:lang w:val="en-AU"/>
        </w:rPr>
        <w:t>of</w:t>
      </w:r>
      <w:r w:rsidRPr="00A57F4B">
        <w:rPr>
          <w:lang w:val="en-AU"/>
        </w:rPr>
        <w:t xml:space="preserve"> the acceptance of women within the Armed Forces. Importantly, this response uses evidence and knowledge from across the broad time frame, 1950</w:t>
      </w:r>
      <w:r w:rsidR="00EB0BF8" w:rsidRPr="00A57F4B">
        <w:rPr>
          <w:lang w:val="en-AU"/>
        </w:rPr>
        <w:t>–</w:t>
      </w:r>
      <w:r w:rsidRPr="00A57F4B">
        <w:rPr>
          <w:lang w:val="en-AU"/>
        </w:rPr>
        <w:t>1992</w:t>
      </w:r>
      <w:r w:rsidR="00EB0BF8" w:rsidRPr="00A57F4B">
        <w:rPr>
          <w:lang w:val="en-AU"/>
        </w:rPr>
        <w:t>,</w:t>
      </w:r>
      <w:r w:rsidRPr="00A57F4B">
        <w:rPr>
          <w:lang w:val="en-AU"/>
        </w:rPr>
        <w:t xml:space="preserve"> outlined in the </w:t>
      </w:r>
      <w:r w:rsidR="00EB0BF8" w:rsidRPr="00A57F4B">
        <w:rPr>
          <w:lang w:val="en-AU"/>
        </w:rPr>
        <w:t>s</w:t>
      </w:r>
      <w:r w:rsidRPr="00A57F4B">
        <w:rPr>
          <w:lang w:val="en-AU"/>
        </w:rPr>
        <w:t xml:space="preserve">tudy </w:t>
      </w:r>
      <w:r w:rsidR="00EB0BF8" w:rsidRPr="00A57F4B">
        <w:rPr>
          <w:lang w:val="en-AU"/>
        </w:rPr>
        <w:t>d</w:t>
      </w:r>
      <w:r w:rsidRPr="00A57F4B">
        <w:rPr>
          <w:lang w:val="en-AU"/>
        </w:rPr>
        <w:t xml:space="preserve">esign. </w:t>
      </w:r>
      <w:r w:rsidR="00514D6C" w:rsidRPr="00A57F4B">
        <w:rPr>
          <w:lang w:val="en-AU"/>
        </w:rPr>
        <w:t>R</w:t>
      </w:r>
      <w:r w:rsidRPr="00A57F4B">
        <w:rPr>
          <w:lang w:val="en-AU"/>
        </w:rPr>
        <w:t>esponses</w:t>
      </w:r>
      <w:r w:rsidR="00514D6C" w:rsidRPr="00A57F4B">
        <w:rPr>
          <w:lang w:val="en-AU"/>
        </w:rPr>
        <w:t xml:space="preserve"> that did not score well</w:t>
      </w:r>
      <w:r w:rsidRPr="00A57F4B">
        <w:rPr>
          <w:lang w:val="en-AU"/>
        </w:rPr>
        <w:t xml:space="preserve"> referred to only one example of accommodation that relied on broad knowledge of the topic </w:t>
      </w:r>
      <w:r w:rsidR="00774326" w:rsidRPr="00A57F4B">
        <w:rPr>
          <w:lang w:val="en-AU"/>
        </w:rPr>
        <w:t xml:space="preserve">or period in general, </w:t>
      </w:r>
      <w:r w:rsidRPr="00A57F4B">
        <w:rPr>
          <w:lang w:val="en-AU"/>
        </w:rPr>
        <w:t>rather than reference to a range of sources as evidence to give depth to their response.</w:t>
      </w:r>
    </w:p>
    <w:p w14:paraId="3CA0ED32" w14:textId="04B87BF3" w:rsidR="00D529FC" w:rsidRPr="00A57F4B" w:rsidRDefault="00D529FC" w:rsidP="00BB64D5">
      <w:pPr>
        <w:pStyle w:val="VCAAbody"/>
        <w:rPr>
          <w:lang w:val="en-AU"/>
        </w:rPr>
      </w:pPr>
    </w:p>
    <w:sectPr w:rsidR="00D529FC" w:rsidRPr="00A57F4B"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C247F" w:rsidRDefault="004C247F" w:rsidP="00304EA1">
      <w:pPr>
        <w:spacing w:after="0" w:line="240" w:lineRule="auto"/>
      </w:pPr>
      <w:r>
        <w:separator/>
      </w:r>
    </w:p>
  </w:endnote>
  <w:endnote w:type="continuationSeparator" w:id="0">
    <w:p w14:paraId="6C2FE3E4" w14:textId="77777777" w:rsidR="004C247F" w:rsidRDefault="004C247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C247F" w:rsidRPr="00D06414" w14:paraId="00D3EC34" w14:textId="77777777" w:rsidTr="00BB3BAB">
      <w:trPr>
        <w:trHeight w:val="476"/>
      </w:trPr>
      <w:tc>
        <w:tcPr>
          <w:tcW w:w="1667" w:type="pct"/>
          <w:tcMar>
            <w:left w:w="0" w:type="dxa"/>
            <w:right w:w="0" w:type="dxa"/>
          </w:tcMar>
        </w:tcPr>
        <w:p w14:paraId="4F062E5B" w14:textId="77777777" w:rsidR="004C247F" w:rsidRPr="00D06414" w:rsidRDefault="004C247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C247F" w:rsidRPr="00D06414" w:rsidRDefault="004C247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C247F" w:rsidRPr="00D06414" w:rsidRDefault="004C247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C247F" w:rsidRPr="00D06414" w:rsidRDefault="004C247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C247F" w:rsidRPr="00D06414" w14:paraId="28670396" w14:textId="77777777" w:rsidTr="000F5AAF">
      <w:tc>
        <w:tcPr>
          <w:tcW w:w="1459" w:type="pct"/>
          <w:tcMar>
            <w:left w:w="0" w:type="dxa"/>
            <w:right w:w="0" w:type="dxa"/>
          </w:tcMar>
        </w:tcPr>
        <w:p w14:paraId="0BBE30B4" w14:textId="77777777" w:rsidR="004C247F" w:rsidRPr="00D06414" w:rsidRDefault="004C247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C247F" w:rsidRPr="00D06414" w:rsidRDefault="004C247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C247F" w:rsidRPr="00D06414" w:rsidRDefault="004C247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C247F" w:rsidRPr="00D06414" w:rsidRDefault="004C247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C247F" w:rsidRDefault="004C247F" w:rsidP="00304EA1">
      <w:pPr>
        <w:spacing w:after="0" w:line="240" w:lineRule="auto"/>
      </w:pPr>
      <w:r>
        <w:separator/>
      </w:r>
    </w:p>
  </w:footnote>
  <w:footnote w:type="continuationSeparator" w:id="0">
    <w:p w14:paraId="600CFD58" w14:textId="77777777" w:rsidR="004C247F" w:rsidRDefault="004C247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A93FE1C" w:rsidR="004C247F" w:rsidRPr="00D86DE4" w:rsidRDefault="004C247F" w:rsidP="00D86DE4">
    <w:pPr>
      <w:pStyle w:val="VCAAcaptionsandfootnotes"/>
      <w:rPr>
        <w:color w:val="999999" w:themeColor="accent2"/>
      </w:rPr>
    </w:pPr>
    <w:r>
      <w:t>2022 VCE Australian History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C247F" w:rsidRPr="009370BC" w:rsidRDefault="004C247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AA5344E"/>
    <w:multiLevelType w:val="hybridMultilevel"/>
    <w:tmpl w:val="CE96F6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C744295"/>
    <w:multiLevelType w:val="hybridMultilevel"/>
    <w:tmpl w:val="FC78383A"/>
    <w:lvl w:ilvl="0" w:tplc="164E11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31083149">
    <w:abstractNumId w:val="7"/>
  </w:num>
  <w:num w:numId="2" w16cid:durableId="1937589938">
    <w:abstractNumId w:val="4"/>
  </w:num>
  <w:num w:numId="3" w16cid:durableId="948313434">
    <w:abstractNumId w:val="1"/>
  </w:num>
  <w:num w:numId="4" w16cid:durableId="1733698508">
    <w:abstractNumId w:val="0"/>
  </w:num>
  <w:num w:numId="5" w16cid:durableId="392697073">
    <w:abstractNumId w:val="6"/>
  </w:num>
  <w:num w:numId="6" w16cid:durableId="991911597">
    <w:abstractNumId w:val="9"/>
  </w:num>
  <w:num w:numId="7" w16cid:durableId="1859461416">
    <w:abstractNumId w:val="11"/>
  </w:num>
  <w:num w:numId="8" w16cid:durableId="1895041632">
    <w:abstractNumId w:val="2"/>
  </w:num>
  <w:num w:numId="9" w16cid:durableId="1065225122">
    <w:abstractNumId w:val="8"/>
  </w:num>
  <w:num w:numId="10" w16cid:durableId="615252160">
    <w:abstractNumId w:val="3"/>
  </w:num>
  <w:num w:numId="11" w16cid:durableId="1174225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043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584"/>
    <w:rsid w:val="00003885"/>
    <w:rsid w:val="00015B3E"/>
    <w:rsid w:val="00017AA4"/>
    <w:rsid w:val="00023818"/>
    <w:rsid w:val="00024018"/>
    <w:rsid w:val="00050596"/>
    <w:rsid w:val="000567B3"/>
    <w:rsid w:val="0005780E"/>
    <w:rsid w:val="000619F6"/>
    <w:rsid w:val="00065CC6"/>
    <w:rsid w:val="000664B0"/>
    <w:rsid w:val="00067172"/>
    <w:rsid w:val="000854C9"/>
    <w:rsid w:val="00090D46"/>
    <w:rsid w:val="00092D6A"/>
    <w:rsid w:val="00094337"/>
    <w:rsid w:val="00096C0B"/>
    <w:rsid w:val="00096F77"/>
    <w:rsid w:val="000A33D3"/>
    <w:rsid w:val="000A71F7"/>
    <w:rsid w:val="000B5775"/>
    <w:rsid w:val="000C152A"/>
    <w:rsid w:val="000D366A"/>
    <w:rsid w:val="000D7763"/>
    <w:rsid w:val="000E0220"/>
    <w:rsid w:val="000E49D5"/>
    <w:rsid w:val="000F09E4"/>
    <w:rsid w:val="000F16FD"/>
    <w:rsid w:val="000F5AAF"/>
    <w:rsid w:val="0011350D"/>
    <w:rsid w:val="0012043B"/>
    <w:rsid w:val="00120DB9"/>
    <w:rsid w:val="00122E87"/>
    <w:rsid w:val="00132087"/>
    <w:rsid w:val="00136983"/>
    <w:rsid w:val="00143520"/>
    <w:rsid w:val="00147C3A"/>
    <w:rsid w:val="00153AD2"/>
    <w:rsid w:val="00160844"/>
    <w:rsid w:val="001667CA"/>
    <w:rsid w:val="001779EA"/>
    <w:rsid w:val="00182027"/>
    <w:rsid w:val="00184297"/>
    <w:rsid w:val="00185CDF"/>
    <w:rsid w:val="00197225"/>
    <w:rsid w:val="001A4C19"/>
    <w:rsid w:val="001A674D"/>
    <w:rsid w:val="001B15BB"/>
    <w:rsid w:val="001B6502"/>
    <w:rsid w:val="001C3EEA"/>
    <w:rsid w:val="001D3246"/>
    <w:rsid w:val="00205093"/>
    <w:rsid w:val="002076D3"/>
    <w:rsid w:val="00211625"/>
    <w:rsid w:val="002177A1"/>
    <w:rsid w:val="00227020"/>
    <w:rsid w:val="002279BA"/>
    <w:rsid w:val="002329F3"/>
    <w:rsid w:val="00241AC4"/>
    <w:rsid w:val="00243F0D"/>
    <w:rsid w:val="00246695"/>
    <w:rsid w:val="00260767"/>
    <w:rsid w:val="00262870"/>
    <w:rsid w:val="002647BB"/>
    <w:rsid w:val="0026598B"/>
    <w:rsid w:val="00267675"/>
    <w:rsid w:val="002754C1"/>
    <w:rsid w:val="002841C8"/>
    <w:rsid w:val="00284609"/>
    <w:rsid w:val="0028516B"/>
    <w:rsid w:val="002852E1"/>
    <w:rsid w:val="002A7C2D"/>
    <w:rsid w:val="002B262A"/>
    <w:rsid w:val="002B4A3B"/>
    <w:rsid w:val="002B71B4"/>
    <w:rsid w:val="002C6F90"/>
    <w:rsid w:val="002E463D"/>
    <w:rsid w:val="002E4FB5"/>
    <w:rsid w:val="002F0211"/>
    <w:rsid w:val="00301413"/>
    <w:rsid w:val="00301AB0"/>
    <w:rsid w:val="00302FB8"/>
    <w:rsid w:val="003038FC"/>
    <w:rsid w:val="00304EA1"/>
    <w:rsid w:val="003063B4"/>
    <w:rsid w:val="00311ED8"/>
    <w:rsid w:val="00314D81"/>
    <w:rsid w:val="00320B2E"/>
    <w:rsid w:val="00322FC6"/>
    <w:rsid w:val="0033226B"/>
    <w:rsid w:val="00343209"/>
    <w:rsid w:val="00343C25"/>
    <w:rsid w:val="00350651"/>
    <w:rsid w:val="0035293F"/>
    <w:rsid w:val="0036222A"/>
    <w:rsid w:val="00377147"/>
    <w:rsid w:val="00385147"/>
    <w:rsid w:val="00391986"/>
    <w:rsid w:val="00393FC7"/>
    <w:rsid w:val="003A00B4"/>
    <w:rsid w:val="003B2257"/>
    <w:rsid w:val="003B6F4E"/>
    <w:rsid w:val="003C3AC0"/>
    <w:rsid w:val="003C5E71"/>
    <w:rsid w:val="003C6C6D"/>
    <w:rsid w:val="003D02D7"/>
    <w:rsid w:val="003D6CBD"/>
    <w:rsid w:val="00400537"/>
    <w:rsid w:val="00410D89"/>
    <w:rsid w:val="00417AA3"/>
    <w:rsid w:val="00425DFE"/>
    <w:rsid w:val="00434EDB"/>
    <w:rsid w:val="00440B32"/>
    <w:rsid w:val="0044213C"/>
    <w:rsid w:val="004450A5"/>
    <w:rsid w:val="00446276"/>
    <w:rsid w:val="00452DBD"/>
    <w:rsid w:val="0046078D"/>
    <w:rsid w:val="00464FEC"/>
    <w:rsid w:val="00467B7D"/>
    <w:rsid w:val="0047637E"/>
    <w:rsid w:val="00495C80"/>
    <w:rsid w:val="004A2ED8"/>
    <w:rsid w:val="004C247F"/>
    <w:rsid w:val="004D7A2A"/>
    <w:rsid w:val="004E1920"/>
    <w:rsid w:val="004F2B0A"/>
    <w:rsid w:val="004F3F5F"/>
    <w:rsid w:val="004F5BDA"/>
    <w:rsid w:val="004F7409"/>
    <w:rsid w:val="00500548"/>
    <w:rsid w:val="00503D62"/>
    <w:rsid w:val="00514D6C"/>
    <w:rsid w:val="0051631E"/>
    <w:rsid w:val="00533522"/>
    <w:rsid w:val="00537A1F"/>
    <w:rsid w:val="00542D6F"/>
    <w:rsid w:val="00550202"/>
    <w:rsid w:val="005566E0"/>
    <w:rsid w:val="005570CF"/>
    <w:rsid w:val="00566029"/>
    <w:rsid w:val="00581D03"/>
    <w:rsid w:val="00584238"/>
    <w:rsid w:val="00590722"/>
    <w:rsid w:val="005923CB"/>
    <w:rsid w:val="00597E29"/>
    <w:rsid w:val="005A0963"/>
    <w:rsid w:val="005B391B"/>
    <w:rsid w:val="005D3D78"/>
    <w:rsid w:val="005E19A8"/>
    <w:rsid w:val="005E2EF0"/>
    <w:rsid w:val="005E3533"/>
    <w:rsid w:val="005E5C5D"/>
    <w:rsid w:val="005F4092"/>
    <w:rsid w:val="006119AC"/>
    <w:rsid w:val="006203C0"/>
    <w:rsid w:val="006208A9"/>
    <w:rsid w:val="00635F98"/>
    <w:rsid w:val="00643377"/>
    <w:rsid w:val="006532E1"/>
    <w:rsid w:val="006604D6"/>
    <w:rsid w:val="006663C6"/>
    <w:rsid w:val="00683503"/>
    <w:rsid w:val="0068471E"/>
    <w:rsid w:val="00684F98"/>
    <w:rsid w:val="00693FFD"/>
    <w:rsid w:val="006B73F5"/>
    <w:rsid w:val="006B7FDE"/>
    <w:rsid w:val="006C316E"/>
    <w:rsid w:val="006C5CE0"/>
    <w:rsid w:val="006C7EF8"/>
    <w:rsid w:val="006D2159"/>
    <w:rsid w:val="006D4AE4"/>
    <w:rsid w:val="006D709C"/>
    <w:rsid w:val="006D7FC3"/>
    <w:rsid w:val="006E2C1A"/>
    <w:rsid w:val="006F32F0"/>
    <w:rsid w:val="006F787C"/>
    <w:rsid w:val="00702636"/>
    <w:rsid w:val="0070776B"/>
    <w:rsid w:val="00724507"/>
    <w:rsid w:val="007248EB"/>
    <w:rsid w:val="00737034"/>
    <w:rsid w:val="00737300"/>
    <w:rsid w:val="00747109"/>
    <w:rsid w:val="007472AD"/>
    <w:rsid w:val="007473F0"/>
    <w:rsid w:val="007476ED"/>
    <w:rsid w:val="0077268D"/>
    <w:rsid w:val="00773E6C"/>
    <w:rsid w:val="00774326"/>
    <w:rsid w:val="00781FB1"/>
    <w:rsid w:val="007838F5"/>
    <w:rsid w:val="007A0866"/>
    <w:rsid w:val="007A4B91"/>
    <w:rsid w:val="007A7E24"/>
    <w:rsid w:val="007B0131"/>
    <w:rsid w:val="007B69AE"/>
    <w:rsid w:val="007C180B"/>
    <w:rsid w:val="007C5F5F"/>
    <w:rsid w:val="007C600D"/>
    <w:rsid w:val="007D1B6D"/>
    <w:rsid w:val="007F2EF4"/>
    <w:rsid w:val="007F5AE9"/>
    <w:rsid w:val="008074E8"/>
    <w:rsid w:val="00813C37"/>
    <w:rsid w:val="008154B5"/>
    <w:rsid w:val="00823962"/>
    <w:rsid w:val="008247A5"/>
    <w:rsid w:val="00826368"/>
    <w:rsid w:val="00831452"/>
    <w:rsid w:val="00840492"/>
    <w:rsid w:val="00840738"/>
    <w:rsid w:val="008428B1"/>
    <w:rsid w:val="00845726"/>
    <w:rsid w:val="008468E3"/>
    <w:rsid w:val="00850410"/>
    <w:rsid w:val="00852719"/>
    <w:rsid w:val="00860115"/>
    <w:rsid w:val="00870E3D"/>
    <w:rsid w:val="00871CEC"/>
    <w:rsid w:val="0087617A"/>
    <w:rsid w:val="0088783C"/>
    <w:rsid w:val="00892D4A"/>
    <w:rsid w:val="008A7DC1"/>
    <w:rsid w:val="008C5463"/>
    <w:rsid w:val="008D0A92"/>
    <w:rsid w:val="008E638F"/>
    <w:rsid w:val="008E69CF"/>
    <w:rsid w:val="008F4651"/>
    <w:rsid w:val="009237A7"/>
    <w:rsid w:val="009370BC"/>
    <w:rsid w:val="009403B9"/>
    <w:rsid w:val="00970580"/>
    <w:rsid w:val="00971EBC"/>
    <w:rsid w:val="009764D0"/>
    <w:rsid w:val="0098739B"/>
    <w:rsid w:val="00987FBE"/>
    <w:rsid w:val="009906B5"/>
    <w:rsid w:val="0099610A"/>
    <w:rsid w:val="009A04D8"/>
    <w:rsid w:val="009B61E5"/>
    <w:rsid w:val="009C4786"/>
    <w:rsid w:val="009C7977"/>
    <w:rsid w:val="009D0E9E"/>
    <w:rsid w:val="009D1E89"/>
    <w:rsid w:val="009E0DD0"/>
    <w:rsid w:val="009E5707"/>
    <w:rsid w:val="009E7379"/>
    <w:rsid w:val="00A10E7B"/>
    <w:rsid w:val="00A123E7"/>
    <w:rsid w:val="00A136A6"/>
    <w:rsid w:val="00A15575"/>
    <w:rsid w:val="00A17661"/>
    <w:rsid w:val="00A2326A"/>
    <w:rsid w:val="00A24B2D"/>
    <w:rsid w:val="00A3188E"/>
    <w:rsid w:val="00A33DF6"/>
    <w:rsid w:val="00A36F2D"/>
    <w:rsid w:val="00A40966"/>
    <w:rsid w:val="00A41062"/>
    <w:rsid w:val="00A41BFB"/>
    <w:rsid w:val="00A45B23"/>
    <w:rsid w:val="00A46DF6"/>
    <w:rsid w:val="00A57F4B"/>
    <w:rsid w:val="00A848DD"/>
    <w:rsid w:val="00A921E0"/>
    <w:rsid w:val="00A922F4"/>
    <w:rsid w:val="00AA1D5E"/>
    <w:rsid w:val="00AA5753"/>
    <w:rsid w:val="00AC06B8"/>
    <w:rsid w:val="00AD7FE9"/>
    <w:rsid w:val="00AE0AB2"/>
    <w:rsid w:val="00AE5526"/>
    <w:rsid w:val="00AF051B"/>
    <w:rsid w:val="00AF6F63"/>
    <w:rsid w:val="00B01578"/>
    <w:rsid w:val="00B03336"/>
    <w:rsid w:val="00B04A31"/>
    <w:rsid w:val="00B0738F"/>
    <w:rsid w:val="00B11379"/>
    <w:rsid w:val="00B13D3B"/>
    <w:rsid w:val="00B16BC4"/>
    <w:rsid w:val="00B230DB"/>
    <w:rsid w:val="00B24561"/>
    <w:rsid w:val="00B254F3"/>
    <w:rsid w:val="00B26601"/>
    <w:rsid w:val="00B41951"/>
    <w:rsid w:val="00B44DF9"/>
    <w:rsid w:val="00B45781"/>
    <w:rsid w:val="00B46840"/>
    <w:rsid w:val="00B53229"/>
    <w:rsid w:val="00B53333"/>
    <w:rsid w:val="00B5443D"/>
    <w:rsid w:val="00B561E3"/>
    <w:rsid w:val="00B62480"/>
    <w:rsid w:val="00B65530"/>
    <w:rsid w:val="00B717F4"/>
    <w:rsid w:val="00B73AD9"/>
    <w:rsid w:val="00B77C7F"/>
    <w:rsid w:val="00B81B70"/>
    <w:rsid w:val="00B838AF"/>
    <w:rsid w:val="00B9303A"/>
    <w:rsid w:val="00B936AC"/>
    <w:rsid w:val="00B9408C"/>
    <w:rsid w:val="00B95D5D"/>
    <w:rsid w:val="00BA2FEC"/>
    <w:rsid w:val="00BA5A6B"/>
    <w:rsid w:val="00BB3BAB"/>
    <w:rsid w:val="00BB4C40"/>
    <w:rsid w:val="00BB64D5"/>
    <w:rsid w:val="00BB709D"/>
    <w:rsid w:val="00BC76C3"/>
    <w:rsid w:val="00BD0724"/>
    <w:rsid w:val="00BD2B91"/>
    <w:rsid w:val="00BD424D"/>
    <w:rsid w:val="00BD7F00"/>
    <w:rsid w:val="00BE5521"/>
    <w:rsid w:val="00BF0BBA"/>
    <w:rsid w:val="00BF3D56"/>
    <w:rsid w:val="00BF4FCF"/>
    <w:rsid w:val="00BF67FA"/>
    <w:rsid w:val="00BF6C23"/>
    <w:rsid w:val="00C01001"/>
    <w:rsid w:val="00C0701C"/>
    <w:rsid w:val="00C11B69"/>
    <w:rsid w:val="00C1383D"/>
    <w:rsid w:val="00C20A13"/>
    <w:rsid w:val="00C2507C"/>
    <w:rsid w:val="00C331A8"/>
    <w:rsid w:val="00C35203"/>
    <w:rsid w:val="00C47FD4"/>
    <w:rsid w:val="00C53263"/>
    <w:rsid w:val="00C7345C"/>
    <w:rsid w:val="00C7477C"/>
    <w:rsid w:val="00C75F1D"/>
    <w:rsid w:val="00C80615"/>
    <w:rsid w:val="00C90329"/>
    <w:rsid w:val="00C91C8A"/>
    <w:rsid w:val="00C92C78"/>
    <w:rsid w:val="00C95156"/>
    <w:rsid w:val="00CA0DC2"/>
    <w:rsid w:val="00CA0F62"/>
    <w:rsid w:val="00CB68E8"/>
    <w:rsid w:val="00CC1A2A"/>
    <w:rsid w:val="00CC4F6C"/>
    <w:rsid w:val="00CC564A"/>
    <w:rsid w:val="00CC6EB0"/>
    <w:rsid w:val="00D02122"/>
    <w:rsid w:val="00D04F01"/>
    <w:rsid w:val="00D06414"/>
    <w:rsid w:val="00D10AA4"/>
    <w:rsid w:val="00D10EF7"/>
    <w:rsid w:val="00D117D6"/>
    <w:rsid w:val="00D11C36"/>
    <w:rsid w:val="00D20ED9"/>
    <w:rsid w:val="00D24E5A"/>
    <w:rsid w:val="00D338E4"/>
    <w:rsid w:val="00D46EB4"/>
    <w:rsid w:val="00D51947"/>
    <w:rsid w:val="00D529FC"/>
    <w:rsid w:val="00D532F0"/>
    <w:rsid w:val="00D54B55"/>
    <w:rsid w:val="00D55F60"/>
    <w:rsid w:val="00D56E0F"/>
    <w:rsid w:val="00D62423"/>
    <w:rsid w:val="00D7536E"/>
    <w:rsid w:val="00D77413"/>
    <w:rsid w:val="00D82759"/>
    <w:rsid w:val="00D84D11"/>
    <w:rsid w:val="00D86DE4"/>
    <w:rsid w:val="00DB2D1B"/>
    <w:rsid w:val="00DB797B"/>
    <w:rsid w:val="00DD2096"/>
    <w:rsid w:val="00DE1909"/>
    <w:rsid w:val="00DE51DB"/>
    <w:rsid w:val="00DF4A82"/>
    <w:rsid w:val="00DF7FB9"/>
    <w:rsid w:val="00E03B84"/>
    <w:rsid w:val="00E111F3"/>
    <w:rsid w:val="00E23F1D"/>
    <w:rsid w:val="00E241E6"/>
    <w:rsid w:val="00E24216"/>
    <w:rsid w:val="00E274F9"/>
    <w:rsid w:val="00E30E05"/>
    <w:rsid w:val="00E35622"/>
    <w:rsid w:val="00E36361"/>
    <w:rsid w:val="00E430CE"/>
    <w:rsid w:val="00E447E3"/>
    <w:rsid w:val="00E5504A"/>
    <w:rsid w:val="00E55AE9"/>
    <w:rsid w:val="00E62535"/>
    <w:rsid w:val="00E92E52"/>
    <w:rsid w:val="00E97BD4"/>
    <w:rsid w:val="00EB0BF8"/>
    <w:rsid w:val="00EB0C84"/>
    <w:rsid w:val="00EB0E02"/>
    <w:rsid w:val="00EC3A08"/>
    <w:rsid w:val="00EC7257"/>
    <w:rsid w:val="00ED3FE6"/>
    <w:rsid w:val="00EE4B49"/>
    <w:rsid w:val="00EF4188"/>
    <w:rsid w:val="00F07F53"/>
    <w:rsid w:val="00F1508A"/>
    <w:rsid w:val="00F1778C"/>
    <w:rsid w:val="00F17FDE"/>
    <w:rsid w:val="00F24A9A"/>
    <w:rsid w:val="00F265BD"/>
    <w:rsid w:val="00F34F60"/>
    <w:rsid w:val="00F370CB"/>
    <w:rsid w:val="00F40D53"/>
    <w:rsid w:val="00F4525C"/>
    <w:rsid w:val="00F50D86"/>
    <w:rsid w:val="00F54B0A"/>
    <w:rsid w:val="00F716D0"/>
    <w:rsid w:val="00F75184"/>
    <w:rsid w:val="00F8521F"/>
    <w:rsid w:val="00F925EE"/>
    <w:rsid w:val="00F94600"/>
    <w:rsid w:val="00FA065A"/>
    <w:rsid w:val="00FA15AB"/>
    <w:rsid w:val="00FD29D3"/>
    <w:rsid w:val="00FD356B"/>
    <w:rsid w:val="00FD479A"/>
    <w:rsid w:val="00FE3F0B"/>
    <w:rsid w:val="00FF4192"/>
    <w:rsid w:val="00FF71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A0866"/>
    <w:pPr>
      <w:keepNext/>
      <w:keepLines/>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BB64D5"/>
    <w:pPr>
      <w:spacing w:after="0" w:line="240" w:lineRule="auto"/>
      <w:ind w:left="720"/>
    </w:pPr>
    <w:rPr>
      <w:rFonts w:ascii="Calibri" w:eastAsiaTheme="minorEastAsia" w:hAnsi="Calibri" w:cs="Calibri"/>
      <w:lang w:val="en-AU"/>
    </w:rPr>
  </w:style>
  <w:style w:type="character" w:customStyle="1" w:styleId="VCAAbold">
    <w:name w:val="VCAA bold"/>
    <w:uiPriority w:val="1"/>
    <w:qFormat/>
    <w:rsid w:val="005566E0"/>
    <w:rPr>
      <w:b/>
      <w:bCs/>
    </w:rPr>
  </w:style>
  <w:style w:type="paragraph" w:customStyle="1" w:styleId="VCAAstudentexample">
    <w:name w:val="VCAA student example"/>
    <w:basedOn w:val="VCAAbody"/>
    <w:link w:val="VCAAstudentexampleChar"/>
    <w:qFormat/>
    <w:rsid w:val="007A0866"/>
    <w:rPr>
      <w:i/>
      <w:lang w:val="en-AU"/>
    </w:rPr>
  </w:style>
  <w:style w:type="character" w:customStyle="1" w:styleId="VCAAstudentexampleChar">
    <w:name w:val="VCAA student example Char"/>
    <w:basedOn w:val="DefaultParagraphFont"/>
    <w:link w:val="VCAAstudentexample"/>
    <w:rsid w:val="007A0866"/>
    <w:rPr>
      <w:rFonts w:ascii="Arial" w:hAnsi="Arial" w:cs="Arial"/>
      <w:i/>
      <w:color w:val="000000" w:themeColor="text1"/>
      <w:sz w:val="20"/>
      <w:lang w:val="en-AU"/>
    </w:rPr>
  </w:style>
  <w:style w:type="paragraph" w:styleId="Revision">
    <w:name w:val="Revision"/>
    <w:hidden/>
    <w:uiPriority w:val="99"/>
    <w:semiHidden/>
    <w:rsid w:val="00A45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1821">
      <w:bodyDiv w:val="1"/>
      <w:marLeft w:val="0"/>
      <w:marRight w:val="0"/>
      <w:marTop w:val="0"/>
      <w:marBottom w:val="0"/>
      <w:divBdr>
        <w:top w:val="none" w:sz="0" w:space="0" w:color="auto"/>
        <w:left w:val="none" w:sz="0" w:space="0" w:color="auto"/>
        <w:bottom w:val="none" w:sz="0" w:space="0" w:color="auto"/>
        <w:right w:val="none" w:sz="0" w:space="0" w:color="auto"/>
      </w:divBdr>
    </w:div>
    <w:div w:id="16703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1172DAA-BB91-8244-84E1-2B0D1B73AAE2}">
  <ds:schemaRefs>
    <ds:schemaRef ds:uri="http://schemas.openxmlformats.org/officeDocument/2006/bibliography"/>
  </ds:schemaRefs>
</ds:datastoreItem>
</file>

<file path=customXml/itemProps2.xml><?xml version="1.0" encoding="utf-8"?>
<ds:datastoreItem xmlns:ds="http://schemas.openxmlformats.org/officeDocument/2006/customXml" ds:itemID="{24D8E120-1633-49C5-BFEE-E0E411BAE307}"/>
</file>

<file path=customXml/itemProps3.xml><?xml version="1.0" encoding="utf-8"?>
<ds:datastoreItem xmlns:ds="http://schemas.openxmlformats.org/officeDocument/2006/customXml" ds:itemID="{59204B13-4028-416B-887C-89D1944D6D4E}"/>
</file>

<file path=customXml/itemProps4.xml><?xml version="1.0" encoding="utf-8"?>
<ds:datastoreItem xmlns:ds="http://schemas.openxmlformats.org/officeDocument/2006/customXml" ds:itemID="{F7F0101A-6ABA-4EC8-86F7-018715CD3374}"/>
</file>

<file path=docMetadata/LabelInfo.xml><?xml version="1.0" encoding="utf-8"?>
<clbl:labelList xmlns:clbl="http://schemas.microsoft.com/office/2020/mipLabelMetadata">
  <clbl:label id="{905a574a-5870-43d8-8c3d-38b70ea218b2}" enabled="0" method="" siteId="{905a574a-5870-43d8-8c3d-38b70ea218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7951</Words>
  <Characters>45323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Australian History external assessment report</dc:title>
  <dc:creator/>
  <cp:lastModifiedBy/>
  <cp:revision>1</cp:revision>
  <dcterms:created xsi:type="dcterms:W3CDTF">2023-02-07T08:15:00Z</dcterms:created>
  <dcterms:modified xsi:type="dcterms:W3CDTF">2023-02-07T08:15:00Z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