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36470BA" w:rsidR="00F4525C" w:rsidRDefault="009E0451" w:rsidP="009B61E5">
      <w:pPr>
        <w:pStyle w:val="VCAADocumenttitle"/>
      </w:pPr>
      <w:r w:rsidRPr="009E0451">
        <w:t xml:space="preserve">2021 </w:t>
      </w:r>
      <w:r w:rsidR="002834B7">
        <w:t xml:space="preserve">VCE </w:t>
      </w:r>
      <w:r w:rsidRPr="009E0451">
        <w:t xml:space="preserve">Indonesian Second Language oral </w:t>
      </w:r>
      <w:r w:rsidR="00E14C25">
        <w:t xml:space="preserve">external assessment </w:t>
      </w:r>
      <w:r w:rsidRPr="009E0451">
        <w:t>report</w:t>
      </w:r>
    </w:p>
    <w:p w14:paraId="192F147F" w14:textId="77777777" w:rsidR="00F87477" w:rsidRPr="00F87477" w:rsidRDefault="00F87477" w:rsidP="006A00EB">
      <w:pPr>
        <w:pStyle w:val="VCAAHeading1"/>
      </w:pPr>
      <w:bookmarkStart w:id="0" w:name="TemplateOverview"/>
      <w:bookmarkEnd w:id="0"/>
      <w:r w:rsidRPr="00F87477">
        <w:t>General comments</w:t>
      </w:r>
    </w:p>
    <w:p w14:paraId="541C8C91" w14:textId="17FB7F4A" w:rsidR="009E0451" w:rsidRPr="006A00EB" w:rsidRDefault="009E0451" w:rsidP="006A00EB">
      <w:pPr>
        <w:pStyle w:val="VCAAbody"/>
      </w:pPr>
      <w:bookmarkStart w:id="1" w:name="_Hlk70606583"/>
      <w:r w:rsidRPr="006A00EB">
        <w:t xml:space="preserve">The 2021 Indonesian Second Language </w:t>
      </w:r>
      <w:r w:rsidR="009169C7">
        <w:t xml:space="preserve">oral </w:t>
      </w:r>
      <w:r w:rsidRPr="006A00EB">
        <w:t xml:space="preserve">examination assessed the </w:t>
      </w:r>
      <w:r w:rsidRPr="00EA7885">
        <w:rPr>
          <w:rStyle w:val="VCAAbodyitalic"/>
        </w:rPr>
        <w:t>VCE Indonesian Second Language Study Design</w:t>
      </w:r>
      <w:r w:rsidRPr="00C301E3">
        <w:rPr>
          <w:rStyle w:val="VCAAbodyitalic"/>
        </w:rPr>
        <w:t xml:space="preserve"> </w:t>
      </w:r>
      <w:bookmarkEnd w:id="1"/>
      <w:r w:rsidR="00893A2C" w:rsidRPr="00C301E3">
        <w:rPr>
          <w:rStyle w:val="VCAAbodyitalic"/>
        </w:rPr>
        <w:t>2020</w:t>
      </w:r>
      <w:r w:rsidR="00EA7885" w:rsidRPr="00C301E3">
        <w:rPr>
          <w:rStyle w:val="VCAAbodyitalic"/>
        </w:rPr>
        <w:t>–</w:t>
      </w:r>
      <w:r w:rsidR="00893A2C" w:rsidRPr="00C301E3">
        <w:rPr>
          <w:rStyle w:val="VCAAbodyitalic"/>
        </w:rPr>
        <w:t>2024</w:t>
      </w:r>
      <w:r w:rsidR="00893A2C">
        <w:t xml:space="preserve"> </w:t>
      </w:r>
      <w:r w:rsidRPr="006A00EB">
        <w:t xml:space="preserve">and examination specifications. It is important that students and teachers familiarise themselves with the specifications for oral examinations, available on the </w:t>
      </w:r>
      <w:hyperlink r:id="rId11" w:history="1">
        <w:r w:rsidRPr="00B548EE">
          <w:rPr>
            <w:rStyle w:val="Hyperlink"/>
          </w:rPr>
          <w:t>VCE Indonesian Second Language examinations webpage</w:t>
        </w:r>
      </w:hyperlink>
      <w:r w:rsidRPr="006A00EB">
        <w:t xml:space="preserve">. Students and teachers are also reminded that a </w:t>
      </w:r>
      <w:hyperlink r:id="rId12" w:history="1">
        <w:r w:rsidRPr="00F87477">
          <w:rPr>
            <w:color w:val="0000FF" w:themeColor="hyperlink"/>
            <w:u w:val="single"/>
            <w:lang w:val="en-AU"/>
          </w:rPr>
          <w:t>series of videos</w:t>
        </w:r>
      </w:hyperlink>
      <w:r w:rsidRPr="006A00EB">
        <w:t xml:space="preserve"> has been produced to help with preparation for the oral examinations</w:t>
      </w:r>
      <w:hyperlink w:history="1"/>
      <w:r w:rsidRPr="006A00EB">
        <w:t xml:space="preserve">. </w:t>
      </w:r>
    </w:p>
    <w:p w14:paraId="66497CE0" w14:textId="77777777" w:rsidR="009E0451" w:rsidRPr="006A00EB" w:rsidRDefault="009E0451" w:rsidP="006A00EB">
      <w:pPr>
        <w:pStyle w:val="VCAAbody"/>
      </w:pPr>
      <w:r w:rsidRPr="006A00EB">
        <w:t>It should be noted that during the oral examination:</w:t>
      </w:r>
    </w:p>
    <w:p w14:paraId="2C48944A" w14:textId="77777777" w:rsidR="009E0451" w:rsidRPr="00F87477" w:rsidRDefault="009E0451" w:rsidP="009E0451">
      <w:pPr>
        <w:pStyle w:val="VCAAbullet"/>
      </w:pPr>
      <w:r w:rsidRPr="00F87477">
        <w:t>students may be asked a variety of questions of varying levels of difficulty. Questions may also be asked in a different order from the one that students anticipate</w:t>
      </w:r>
    </w:p>
    <w:p w14:paraId="776D9879" w14:textId="77777777" w:rsidR="009E0451" w:rsidRPr="00F87477" w:rsidRDefault="009E0451" w:rsidP="009E0451">
      <w:pPr>
        <w:pStyle w:val="VCAAbullet"/>
      </w:pPr>
      <w:r w:rsidRPr="00F87477">
        <w:t>assessors may interrupt students to ask questions during either section of the examination; this should be regarded as a normal process in a discussion</w:t>
      </w:r>
    </w:p>
    <w:p w14:paraId="427F3FA3" w14:textId="77777777" w:rsidR="009E0451" w:rsidRPr="00F87477" w:rsidRDefault="009E0451" w:rsidP="009E0451">
      <w:pPr>
        <w:pStyle w:val="VCAAbullet"/>
      </w:pPr>
      <w:r w:rsidRPr="00F87477">
        <w:t>assessors may also repeat or rephrase questions</w:t>
      </w:r>
    </w:p>
    <w:p w14:paraId="26B9166D" w14:textId="77777777" w:rsidR="009E0451" w:rsidRPr="00F87477" w:rsidRDefault="009E0451" w:rsidP="009E0451">
      <w:pPr>
        <w:pStyle w:val="VCAAbullet"/>
      </w:pPr>
      <w:r w:rsidRPr="00F87477">
        <w:t>normal variation in assessor body language is acceptable.</w:t>
      </w:r>
    </w:p>
    <w:p w14:paraId="30EEC84B" w14:textId="77777777" w:rsidR="00F87477" w:rsidRPr="00F87477" w:rsidRDefault="00F87477" w:rsidP="006A00EB">
      <w:pPr>
        <w:pStyle w:val="VCAAHeading1"/>
      </w:pPr>
      <w:r w:rsidRPr="00F87477">
        <w:t>Specific information</w:t>
      </w:r>
    </w:p>
    <w:p w14:paraId="5386B857" w14:textId="77777777" w:rsidR="00F87477" w:rsidRPr="00F87477" w:rsidRDefault="00F87477" w:rsidP="006A00EB">
      <w:pPr>
        <w:pStyle w:val="VCAAHeading2"/>
        <w:rPr>
          <w:lang w:val="en-AU"/>
        </w:rPr>
      </w:pPr>
      <w:r w:rsidRPr="00F87477">
        <w:rPr>
          <w:lang w:val="en-AU"/>
        </w:rPr>
        <w:t>Section 1 – Conversation</w:t>
      </w:r>
    </w:p>
    <w:p w14:paraId="4BACA8B2" w14:textId="77777777" w:rsidR="009E0451" w:rsidRPr="00D95C71" w:rsidRDefault="009E0451" w:rsidP="006A00EB">
      <w:pPr>
        <w:pStyle w:val="VCAAbody"/>
      </w:pPr>
      <w:r w:rsidRPr="00D95C71">
        <w:t xml:space="preserve">Section 1 of the examination involves a general conversation between the student and the two assessors about the student’s personal world and their interactions with the </w:t>
      </w:r>
      <w:r w:rsidRPr="006A00EB">
        <w:t xml:space="preserve">Indonesian </w:t>
      </w:r>
      <w:r w:rsidRPr="00D95C71">
        <w:t xml:space="preserve">language and culture as learners. It is an organic conversation about the student’s personal world. </w:t>
      </w:r>
    </w:p>
    <w:p w14:paraId="39D090C0" w14:textId="5CCC1B2F" w:rsidR="009E0451" w:rsidRDefault="009169C7" w:rsidP="009E0451">
      <w:pPr>
        <w:pStyle w:val="VCAAbody"/>
        <w:rPr>
          <w:lang w:eastAsia="en-GB"/>
        </w:rPr>
      </w:pPr>
      <w:r>
        <w:rPr>
          <w:lang w:eastAsia="en-GB"/>
        </w:rPr>
        <w:t>In 2021</w:t>
      </w:r>
      <w:r w:rsidR="009E0451">
        <w:rPr>
          <w:lang w:eastAsia="en-GB"/>
        </w:rPr>
        <w:t xml:space="preserve"> students generally performed well in the </w:t>
      </w:r>
      <w:r w:rsidR="00591868">
        <w:rPr>
          <w:lang w:eastAsia="en-GB"/>
        </w:rPr>
        <w:t>c</w:t>
      </w:r>
      <w:r w:rsidR="009E0451">
        <w:rPr>
          <w:lang w:eastAsia="en-GB"/>
        </w:rPr>
        <w:t xml:space="preserve">onversation. </w:t>
      </w:r>
      <w:r>
        <w:rPr>
          <w:lang w:eastAsia="en-GB"/>
        </w:rPr>
        <w:t>S</w:t>
      </w:r>
      <w:r w:rsidR="009E0451">
        <w:rPr>
          <w:lang w:eastAsia="en-GB"/>
        </w:rPr>
        <w:t xml:space="preserve">tudents who prepared </w:t>
      </w:r>
      <w:r>
        <w:rPr>
          <w:lang w:eastAsia="en-GB"/>
        </w:rPr>
        <w:t xml:space="preserve">carefully </w:t>
      </w:r>
      <w:r w:rsidR="009E0451">
        <w:rPr>
          <w:lang w:eastAsia="en-GB"/>
        </w:rPr>
        <w:t>showed</w:t>
      </w:r>
      <w:r>
        <w:rPr>
          <w:lang w:eastAsia="en-GB"/>
        </w:rPr>
        <w:t xml:space="preserve"> a</w:t>
      </w:r>
      <w:r w:rsidR="009E0451">
        <w:rPr>
          <w:lang w:eastAsia="en-GB"/>
        </w:rPr>
        <w:t xml:space="preserve"> very high comprehension level </w:t>
      </w:r>
      <w:r>
        <w:rPr>
          <w:lang w:eastAsia="en-GB"/>
        </w:rPr>
        <w:t xml:space="preserve">and </w:t>
      </w:r>
      <w:r w:rsidR="009E0451">
        <w:rPr>
          <w:lang w:eastAsia="en-GB"/>
        </w:rPr>
        <w:t xml:space="preserve">a sound grasp of </w:t>
      </w:r>
      <w:r>
        <w:rPr>
          <w:lang w:eastAsia="en-GB"/>
        </w:rPr>
        <w:t>vocabulary.</w:t>
      </w:r>
      <w:r w:rsidR="009E0451">
        <w:rPr>
          <w:lang w:eastAsia="en-GB"/>
        </w:rPr>
        <w:t xml:space="preserve"> </w:t>
      </w:r>
      <w:r>
        <w:rPr>
          <w:lang w:eastAsia="en-GB"/>
        </w:rPr>
        <w:t>They were</w:t>
      </w:r>
      <w:r w:rsidR="009E0451">
        <w:rPr>
          <w:lang w:eastAsia="en-GB"/>
        </w:rPr>
        <w:t xml:space="preserve"> able to answer complex questions that </w:t>
      </w:r>
      <w:r>
        <w:rPr>
          <w:lang w:eastAsia="en-GB"/>
        </w:rPr>
        <w:t>did</w:t>
      </w:r>
      <w:r w:rsidR="009E0451">
        <w:rPr>
          <w:lang w:eastAsia="en-GB"/>
        </w:rPr>
        <w:t xml:space="preserve"> not necessarily </w:t>
      </w:r>
      <w:r>
        <w:rPr>
          <w:lang w:eastAsia="en-GB"/>
        </w:rPr>
        <w:t>include</w:t>
      </w:r>
      <w:r w:rsidR="009E0451">
        <w:rPr>
          <w:lang w:eastAsia="en-GB"/>
        </w:rPr>
        <w:t xml:space="preserve"> words they were familiar with. </w:t>
      </w:r>
      <w:r>
        <w:rPr>
          <w:lang w:eastAsia="en-GB"/>
        </w:rPr>
        <w:t>S</w:t>
      </w:r>
      <w:r w:rsidR="009E0451">
        <w:rPr>
          <w:lang w:eastAsia="en-GB"/>
        </w:rPr>
        <w:t xml:space="preserve">tudents </w:t>
      </w:r>
      <w:r>
        <w:rPr>
          <w:lang w:eastAsia="en-GB"/>
        </w:rPr>
        <w:t xml:space="preserve">who scored highly </w:t>
      </w:r>
      <w:r w:rsidR="00BF78E0">
        <w:rPr>
          <w:lang w:eastAsia="en-GB"/>
        </w:rPr>
        <w:t>conveyed</w:t>
      </w:r>
      <w:r w:rsidR="009E0451">
        <w:rPr>
          <w:lang w:eastAsia="en-GB"/>
        </w:rPr>
        <w:t xml:space="preserve"> </w:t>
      </w:r>
      <w:r w:rsidR="00BF78E0">
        <w:rPr>
          <w:lang w:eastAsia="en-GB"/>
        </w:rPr>
        <w:t xml:space="preserve">with clarity their impressions and feelings about </w:t>
      </w:r>
      <w:r w:rsidR="009E0451">
        <w:rPr>
          <w:lang w:eastAsia="en-GB"/>
        </w:rPr>
        <w:t>their personal world and provide</w:t>
      </w:r>
      <w:r w:rsidR="00BF78E0">
        <w:rPr>
          <w:lang w:eastAsia="en-GB"/>
        </w:rPr>
        <w:t>d</w:t>
      </w:r>
      <w:r w:rsidR="009E0451">
        <w:rPr>
          <w:lang w:eastAsia="en-GB"/>
        </w:rPr>
        <w:t xml:space="preserve"> comparisons with </w:t>
      </w:r>
      <w:r w:rsidR="00BF78E0">
        <w:rPr>
          <w:lang w:eastAsia="en-GB"/>
        </w:rPr>
        <w:t>similar</w:t>
      </w:r>
      <w:r w:rsidR="009E0451">
        <w:rPr>
          <w:lang w:eastAsia="en-GB"/>
        </w:rPr>
        <w:t xml:space="preserve"> situation</w:t>
      </w:r>
      <w:r w:rsidR="00BF78E0">
        <w:rPr>
          <w:lang w:eastAsia="en-GB"/>
        </w:rPr>
        <w:t>s</w:t>
      </w:r>
      <w:r w:rsidR="009E0451">
        <w:rPr>
          <w:lang w:eastAsia="en-GB"/>
        </w:rPr>
        <w:t xml:space="preserve"> in Indonesia</w:t>
      </w:r>
      <w:r w:rsidR="004C73D4">
        <w:rPr>
          <w:lang w:eastAsia="en-GB"/>
        </w:rPr>
        <w:t>n-speaking communities</w:t>
      </w:r>
      <w:r w:rsidR="009E0451">
        <w:rPr>
          <w:lang w:eastAsia="en-GB"/>
        </w:rPr>
        <w:t xml:space="preserve">. They </w:t>
      </w:r>
      <w:r w:rsidR="00BF78E0">
        <w:rPr>
          <w:lang w:eastAsia="en-GB"/>
        </w:rPr>
        <w:t>spoke</w:t>
      </w:r>
      <w:r w:rsidR="009E0451">
        <w:rPr>
          <w:lang w:eastAsia="en-GB"/>
        </w:rPr>
        <w:t xml:space="preserve"> confidently about their experience</w:t>
      </w:r>
      <w:r w:rsidR="00BF78E0">
        <w:rPr>
          <w:lang w:eastAsia="en-GB"/>
        </w:rPr>
        <w:t xml:space="preserve"> of</w:t>
      </w:r>
      <w:r w:rsidR="009E0451">
        <w:rPr>
          <w:lang w:eastAsia="en-GB"/>
        </w:rPr>
        <w:t xml:space="preserve"> learning Indonesian and provide</w:t>
      </w:r>
      <w:r w:rsidR="004C73D4">
        <w:rPr>
          <w:lang w:eastAsia="en-GB"/>
        </w:rPr>
        <w:t>d</w:t>
      </w:r>
      <w:r w:rsidR="009E0451">
        <w:rPr>
          <w:lang w:eastAsia="en-GB"/>
        </w:rPr>
        <w:t xml:space="preserve"> a range of reasons to explain </w:t>
      </w:r>
      <w:r w:rsidR="00BF78E0">
        <w:rPr>
          <w:lang w:eastAsia="en-GB"/>
        </w:rPr>
        <w:t xml:space="preserve">why they chose to </w:t>
      </w:r>
      <w:r w:rsidR="009E0451">
        <w:rPr>
          <w:lang w:eastAsia="en-GB"/>
        </w:rPr>
        <w:t>study Indonesian.</w:t>
      </w:r>
    </w:p>
    <w:p w14:paraId="114DF8A9" w14:textId="5AB1B18D" w:rsidR="009E0451" w:rsidRPr="006A00EB" w:rsidRDefault="009E0451" w:rsidP="009E0451">
      <w:pPr>
        <w:pStyle w:val="VCAAbody"/>
        <w:rPr>
          <w:rStyle w:val="VCAAbodyitalic"/>
        </w:rPr>
      </w:pPr>
      <w:r>
        <w:rPr>
          <w:lang w:eastAsia="en-GB"/>
        </w:rPr>
        <w:t xml:space="preserve">In preparation for this section, students are encouraged to </w:t>
      </w:r>
      <w:r w:rsidR="00BF78E0" w:rsidRPr="006A00EB">
        <w:rPr>
          <w:lang w:val="en-AU" w:eastAsia="en-GB"/>
        </w:rPr>
        <w:t>practise</w:t>
      </w:r>
      <w:r w:rsidR="00BF78E0">
        <w:rPr>
          <w:lang w:eastAsia="en-GB"/>
        </w:rPr>
        <w:t xml:space="preserve"> responding with </w:t>
      </w:r>
      <w:r>
        <w:rPr>
          <w:lang w:eastAsia="en-GB"/>
        </w:rPr>
        <w:t>detail</w:t>
      </w:r>
      <w:r w:rsidR="00BF78E0">
        <w:rPr>
          <w:lang w:eastAsia="en-GB"/>
        </w:rPr>
        <w:t>ed</w:t>
      </w:r>
      <w:r>
        <w:rPr>
          <w:lang w:eastAsia="en-GB"/>
        </w:rPr>
        <w:t xml:space="preserve"> answers. </w:t>
      </w:r>
      <w:r w:rsidR="009B130A">
        <w:rPr>
          <w:lang w:eastAsia="en-GB"/>
        </w:rPr>
        <w:t xml:space="preserve">They </w:t>
      </w:r>
      <w:r>
        <w:rPr>
          <w:lang w:eastAsia="en-GB"/>
        </w:rPr>
        <w:t>may want to consider including their opinions about points that were raised and extend their answer</w:t>
      </w:r>
      <w:r w:rsidR="009B130A">
        <w:rPr>
          <w:lang w:eastAsia="en-GB"/>
        </w:rPr>
        <w:t>s</w:t>
      </w:r>
      <w:r>
        <w:rPr>
          <w:lang w:eastAsia="en-GB"/>
        </w:rPr>
        <w:t xml:space="preserve"> by explaining why they ‘like’ certain aspects more than others. </w:t>
      </w:r>
      <w:r w:rsidR="009B130A">
        <w:rPr>
          <w:lang w:eastAsia="en-GB"/>
        </w:rPr>
        <w:t xml:space="preserve">They would also benefit from identifying </w:t>
      </w:r>
      <w:r>
        <w:rPr>
          <w:lang w:eastAsia="en-GB"/>
        </w:rPr>
        <w:t xml:space="preserve">common errors such as the different meanings of </w:t>
      </w:r>
      <w:proofErr w:type="spellStart"/>
      <w:r w:rsidRPr="006A00EB">
        <w:rPr>
          <w:rStyle w:val="VCAAbodyitalic"/>
        </w:rPr>
        <w:t>kalau</w:t>
      </w:r>
      <w:proofErr w:type="spellEnd"/>
      <w:r w:rsidRPr="006A00EB">
        <w:rPr>
          <w:rStyle w:val="VCAAbodyitalic"/>
        </w:rPr>
        <w:t xml:space="preserve"> </w:t>
      </w:r>
      <w:r>
        <w:rPr>
          <w:lang w:eastAsia="en-GB"/>
        </w:rPr>
        <w:t>(if/when)</w:t>
      </w:r>
      <w:r w:rsidRPr="006A00EB">
        <w:rPr>
          <w:rStyle w:val="VCAAbodyitalic"/>
        </w:rPr>
        <w:t xml:space="preserve">, </w:t>
      </w:r>
      <w:proofErr w:type="spellStart"/>
      <w:r w:rsidRPr="006A00EB">
        <w:rPr>
          <w:rStyle w:val="VCAAbodyitalic"/>
        </w:rPr>
        <w:t>kapan</w:t>
      </w:r>
      <w:proofErr w:type="spellEnd"/>
      <w:r w:rsidRPr="006A00EB">
        <w:rPr>
          <w:rStyle w:val="VCAAbodyitalic"/>
        </w:rPr>
        <w:t xml:space="preserve"> </w:t>
      </w:r>
      <w:r>
        <w:rPr>
          <w:lang w:eastAsia="en-GB"/>
        </w:rPr>
        <w:t>(when as a question word)</w:t>
      </w:r>
      <w:r w:rsidR="009B130A">
        <w:rPr>
          <w:lang w:eastAsia="en-GB"/>
        </w:rPr>
        <w:t>,</w:t>
      </w:r>
      <w:r>
        <w:rPr>
          <w:lang w:eastAsia="en-GB"/>
        </w:rPr>
        <w:t xml:space="preserve"> </w:t>
      </w:r>
      <w:proofErr w:type="spellStart"/>
      <w:r w:rsidRPr="006A00EB">
        <w:rPr>
          <w:rStyle w:val="VCAAbodyitalic"/>
        </w:rPr>
        <w:t>bekerja</w:t>
      </w:r>
      <w:proofErr w:type="spellEnd"/>
      <w:r w:rsidRPr="006A00EB">
        <w:rPr>
          <w:rStyle w:val="VCAAbodyitalic"/>
        </w:rPr>
        <w:t xml:space="preserve"> </w:t>
      </w:r>
      <w:r>
        <w:rPr>
          <w:lang w:eastAsia="en-GB"/>
        </w:rPr>
        <w:t>(work) versus</w:t>
      </w:r>
      <w:r w:rsidRPr="006A00EB">
        <w:rPr>
          <w:rStyle w:val="VCAAbodyitalic"/>
        </w:rPr>
        <w:t xml:space="preserve"> </w:t>
      </w:r>
      <w:proofErr w:type="spellStart"/>
      <w:r w:rsidRPr="006A00EB">
        <w:rPr>
          <w:rStyle w:val="VCAAbodyitalic"/>
        </w:rPr>
        <w:t>belajar</w:t>
      </w:r>
      <w:proofErr w:type="spellEnd"/>
      <w:r w:rsidRPr="006A00EB">
        <w:rPr>
          <w:rStyle w:val="VCAAbodyitalic"/>
        </w:rPr>
        <w:t xml:space="preserve"> </w:t>
      </w:r>
      <w:r>
        <w:rPr>
          <w:lang w:eastAsia="en-GB"/>
        </w:rPr>
        <w:t>(study)</w:t>
      </w:r>
      <w:r w:rsidR="009B130A">
        <w:rPr>
          <w:lang w:eastAsia="en-GB"/>
        </w:rPr>
        <w:t>,</w:t>
      </w:r>
      <w:r w:rsidRPr="006A00EB">
        <w:rPr>
          <w:rStyle w:val="VCAAbodyitalic"/>
        </w:rPr>
        <w:t xml:space="preserve"> </w:t>
      </w:r>
      <w:r>
        <w:rPr>
          <w:lang w:eastAsia="en-GB"/>
        </w:rPr>
        <w:t xml:space="preserve">and </w:t>
      </w:r>
      <w:proofErr w:type="spellStart"/>
      <w:r w:rsidR="009B130A">
        <w:rPr>
          <w:lang w:eastAsia="en-GB"/>
        </w:rPr>
        <w:t>practising</w:t>
      </w:r>
      <w:proofErr w:type="spellEnd"/>
      <w:r w:rsidR="009B130A">
        <w:rPr>
          <w:lang w:eastAsia="en-GB"/>
        </w:rPr>
        <w:t xml:space="preserve"> the </w:t>
      </w:r>
      <w:r>
        <w:rPr>
          <w:lang w:eastAsia="en-GB"/>
        </w:rPr>
        <w:t xml:space="preserve">correct use of the passive voice. Students should reduce their reliance on </w:t>
      </w:r>
      <w:r w:rsidR="009B130A">
        <w:rPr>
          <w:lang w:eastAsia="en-GB"/>
        </w:rPr>
        <w:t>‘</w:t>
      </w:r>
      <w:proofErr w:type="spellStart"/>
      <w:r>
        <w:rPr>
          <w:lang w:eastAsia="en-GB"/>
        </w:rPr>
        <w:t>Indonesianised</w:t>
      </w:r>
      <w:proofErr w:type="spellEnd"/>
      <w:r w:rsidR="009B130A">
        <w:rPr>
          <w:lang w:eastAsia="en-GB"/>
        </w:rPr>
        <w:t>’</w:t>
      </w:r>
      <w:r>
        <w:rPr>
          <w:lang w:eastAsia="en-GB"/>
        </w:rPr>
        <w:t xml:space="preserve"> English words such as </w:t>
      </w:r>
      <w:proofErr w:type="spellStart"/>
      <w:r w:rsidRPr="006A00EB">
        <w:rPr>
          <w:rStyle w:val="VCAAbodyitalic"/>
        </w:rPr>
        <w:t>aktivitas</w:t>
      </w:r>
      <w:proofErr w:type="spellEnd"/>
      <w:r w:rsidRPr="006A00EB">
        <w:rPr>
          <w:rStyle w:val="VCAAbodyitalic"/>
        </w:rPr>
        <w:t xml:space="preserve">, </w:t>
      </w:r>
      <w:proofErr w:type="spellStart"/>
      <w:r w:rsidRPr="006A00EB">
        <w:rPr>
          <w:rStyle w:val="VCAAbodyitalic"/>
        </w:rPr>
        <w:t>hobi</w:t>
      </w:r>
      <w:proofErr w:type="spellEnd"/>
      <w:r w:rsidRPr="006A00EB">
        <w:rPr>
          <w:rStyle w:val="VCAAbodyitalic"/>
        </w:rPr>
        <w:t xml:space="preserve">, </w:t>
      </w:r>
      <w:proofErr w:type="spellStart"/>
      <w:r w:rsidRPr="006A00EB">
        <w:rPr>
          <w:rStyle w:val="VCAAbodyitalic"/>
        </w:rPr>
        <w:t>favorit</w:t>
      </w:r>
      <w:proofErr w:type="spellEnd"/>
      <w:r w:rsidRPr="006A00EB">
        <w:rPr>
          <w:rStyle w:val="VCAAbodyitalic"/>
        </w:rPr>
        <w:t xml:space="preserve"> </w:t>
      </w:r>
      <w:r>
        <w:rPr>
          <w:lang w:eastAsia="en-GB"/>
        </w:rPr>
        <w:t xml:space="preserve">and so on and use the correct Indonesian versions of </w:t>
      </w:r>
      <w:proofErr w:type="spellStart"/>
      <w:r w:rsidRPr="006A00EB">
        <w:rPr>
          <w:rStyle w:val="VCAAbodyitalic"/>
        </w:rPr>
        <w:t>kegiatan</w:t>
      </w:r>
      <w:proofErr w:type="spellEnd"/>
      <w:r>
        <w:rPr>
          <w:lang w:eastAsia="en-GB"/>
        </w:rPr>
        <w:t xml:space="preserve"> (activity), </w:t>
      </w:r>
      <w:proofErr w:type="spellStart"/>
      <w:r w:rsidRPr="006A00EB">
        <w:rPr>
          <w:rStyle w:val="VCAAbodyitalic"/>
        </w:rPr>
        <w:t>kegemaran</w:t>
      </w:r>
      <w:proofErr w:type="spellEnd"/>
      <w:r w:rsidRPr="006A00EB">
        <w:rPr>
          <w:rStyle w:val="VCAAbodyitalic"/>
        </w:rPr>
        <w:t>/</w:t>
      </w:r>
      <w:proofErr w:type="spellStart"/>
      <w:r w:rsidRPr="006A00EB">
        <w:rPr>
          <w:rStyle w:val="VCAAbodyitalic"/>
        </w:rPr>
        <w:t>kesukaan</w:t>
      </w:r>
      <w:proofErr w:type="spellEnd"/>
      <w:r w:rsidRPr="006A00EB">
        <w:rPr>
          <w:rStyle w:val="VCAAbodyitalic"/>
        </w:rPr>
        <w:t xml:space="preserve"> </w:t>
      </w:r>
      <w:r>
        <w:rPr>
          <w:lang w:eastAsia="en-GB"/>
        </w:rPr>
        <w:t xml:space="preserve">(hobby) and </w:t>
      </w:r>
      <w:proofErr w:type="spellStart"/>
      <w:r w:rsidRPr="006A00EB">
        <w:rPr>
          <w:rStyle w:val="VCAAbodyitalic"/>
        </w:rPr>
        <w:t>kesayangan</w:t>
      </w:r>
      <w:proofErr w:type="spellEnd"/>
      <w:r w:rsidRPr="006A00EB">
        <w:rPr>
          <w:rStyle w:val="VCAAbodyitalic"/>
        </w:rPr>
        <w:t xml:space="preserve"> or </w:t>
      </w:r>
      <w:proofErr w:type="spellStart"/>
      <w:r w:rsidRPr="006A00EB">
        <w:rPr>
          <w:rStyle w:val="VCAAbodyitalic"/>
        </w:rPr>
        <w:t>kesukaan</w:t>
      </w:r>
      <w:proofErr w:type="spellEnd"/>
      <w:r w:rsidRPr="006A00EB">
        <w:rPr>
          <w:rStyle w:val="VCAAbodyitalic"/>
        </w:rPr>
        <w:t xml:space="preserve"> </w:t>
      </w:r>
      <w:r>
        <w:rPr>
          <w:lang w:eastAsia="en-GB"/>
        </w:rPr>
        <w:t xml:space="preserve">for </w:t>
      </w:r>
      <w:proofErr w:type="spellStart"/>
      <w:r>
        <w:rPr>
          <w:lang w:eastAsia="en-GB"/>
        </w:rPr>
        <w:lastRenderedPageBreak/>
        <w:t>favourite</w:t>
      </w:r>
      <w:proofErr w:type="spellEnd"/>
      <w:r>
        <w:rPr>
          <w:lang w:eastAsia="en-GB"/>
        </w:rPr>
        <w:t xml:space="preserve">. It is also worth remembering that the colloquial </w:t>
      </w:r>
      <w:r w:rsidRPr="006A00EB">
        <w:rPr>
          <w:rStyle w:val="VCAAbodyitalic"/>
        </w:rPr>
        <w:t>punya</w:t>
      </w:r>
      <w:r>
        <w:rPr>
          <w:lang w:eastAsia="en-GB"/>
        </w:rPr>
        <w:t xml:space="preserve"> (to have) should be avoided altogether as standard Indonesian is the language under examination.</w:t>
      </w:r>
    </w:p>
    <w:p w14:paraId="774915E0" w14:textId="670DCA7E" w:rsidR="009E0451" w:rsidRPr="0036514F" w:rsidRDefault="00AB3DFA" w:rsidP="009E0451">
      <w:pPr>
        <w:pStyle w:val="VCAAbody"/>
        <w:rPr>
          <w:lang w:eastAsia="en-GB"/>
        </w:rPr>
      </w:pPr>
      <w:r>
        <w:rPr>
          <w:lang w:eastAsia="en-GB"/>
        </w:rPr>
        <w:t xml:space="preserve">While most students had a good grasp of Indonesian pronunciation and spoke clearly, they are encouraged to </w:t>
      </w:r>
      <w:proofErr w:type="spellStart"/>
      <w:r>
        <w:rPr>
          <w:lang w:eastAsia="en-GB"/>
        </w:rPr>
        <w:t>practise</w:t>
      </w:r>
      <w:proofErr w:type="spellEnd"/>
      <w:r>
        <w:rPr>
          <w:lang w:eastAsia="en-GB"/>
        </w:rPr>
        <w:t xml:space="preserve"> </w:t>
      </w:r>
      <w:r w:rsidR="009E0451">
        <w:rPr>
          <w:lang w:eastAsia="en-GB"/>
        </w:rPr>
        <w:t>maint</w:t>
      </w:r>
      <w:r>
        <w:rPr>
          <w:lang w:eastAsia="en-GB"/>
        </w:rPr>
        <w:t>aining</w:t>
      </w:r>
      <w:r w:rsidR="009E0451">
        <w:rPr>
          <w:lang w:eastAsia="en-GB"/>
        </w:rPr>
        <w:t xml:space="preserve"> an even tempo</w:t>
      </w:r>
      <w:r w:rsidR="00EE1482">
        <w:rPr>
          <w:lang w:eastAsia="en-GB"/>
        </w:rPr>
        <w:t xml:space="preserve"> in their speech</w:t>
      </w:r>
      <w:r w:rsidR="009E0451">
        <w:rPr>
          <w:lang w:eastAsia="en-GB"/>
        </w:rPr>
        <w:t>.</w:t>
      </w:r>
    </w:p>
    <w:p w14:paraId="1B65F4DC" w14:textId="77777777" w:rsidR="00F87477" w:rsidRPr="00F87477" w:rsidRDefault="00F87477" w:rsidP="006A00EB">
      <w:pPr>
        <w:pStyle w:val="VCAAHeading2"/>
        <w:rPr>
          <w:lang w:val="en-AU"/>
        </w:rPr>
      </w:pPr>
      <w:r w:rsidRPr="00F87477">
        <w:rPr>
          <w:lang w:val="en-AU"/>
        </w:rPr>
        <w:t>Section 2 – Discussion</w:t>
      </w:r>
    </w:p>
    <w:p w14:paraId="3FFEB429" w14:textId="7418B6BB" w:rsidR="009E0451" w:rsidRPr="00D95C71" w:rsidRDefault="009E0451" w:rsidP="006A00EB">
      <w:pPr>
        <w:pStyle w:val="VCAAbody"/>
      </w:pPr>
      <w:r w:rsidRPr="00D95C71">
        <w:t xml:space="preserve">Following the conversation, the student </w:t>
      </w:r>
      <w:r w:rsidR="004C73D4">
        <w:t>discusse</w:t>
      </w:r>
      <w:r w:rsidR="002179C6">
        <w:t>s</w:t>
      </w:r>
      <w:r w:rsidRPr="00D95C71">
        <w:t xml:space="preserve"> their chosen subtopic and the supporting visual material that they have brought with them. </w:t>
      </w:r>
    </w:p>
    <w:p w14:paraId="29526176" w14:textId="77777777" w:rsidR="009E0451" w:rsidRPr="00D95C71" w:rsidRDefault="009E0451" w:rsidP="006A00EB">
      <w:pPr>
        <w:pStyle w:val="VCAAbody"/>
      </w:pPr>
      <w:r w:rsidRPr="00D95C71">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5871BA2B" w14:textId="77777777" w:rsidR="009E0451" w:rsidRPr="00D95C71" w:rsidRDefault="009E0451" w:rsidP="006A00EB">
      <w:pPr>
        <w:pStyle w:val="VCAAbody"/>
      </w:pPr>
      <w:r w:rsidRPr="00D95C71">
        <w:t>Students are reminded that it is not the image that is being assessed – it is the quality of the discussion. Students should therefore select an image that adequately enables them to integrate that image into a discussion about their selected subtopic.</w:t>
      </w:r>
    </w:p>
    <w:p w14:paraId="1DFFD658" w14:textId="7A0D6F1D" w:rsidR="009E0451" w:rsidRDefault="009E0451" w:rsidP="009E0451">
      <w:pPr>
        <w:pStyle w:val="VCAAbody"/>
        <w:rPr>
          <w:lang w:eastAsia="en-GB"/>
        </w:rPr>
      </w:pPr>
      <w:r>
        <w:rPr>
          <w:lang w:eastAsia="en-GB"/>
        </w:rPr>
        <w:t xml:space="preserve">Students who </w:t>
      </w:r>
      <w:r w:rsidR="00EE1482">
        <w:rPr>
          <w:lang w:eastAsia="en-GB"/>
        </w:rPr>
        <w:t xml:space="preserve">scored highly had </w:t>
      </w:r>
      <w:r>
        <w:rPr>
          <w:lang w:eastAsia="en-GB"/>
        </w:rPr>
        <w:t xml:space="preserve">prepared thoroughly for the </w:t>
      </w:r>
      <w:r w:rsidR="00591868">
        <w:rPr>
          <w:lang w:eastAsia="en-GB"/>
        </w:rPr>
        <w:t>d</w:t>
      </w:r>
      <w:r>
        <w:rPr>
          <w:lang w:eastAsia="en-GB"/>
        </w:rPr>
        <w:t>iscussion</w:t>
      </w:r>
      <w:r w:rsidR="00EE1482">
        <w:rPr>
          <w:lang w:eastAsia="en-GB"/>
        </w:rPr>
        <w:t>.</w:t>
      </w:r>
      <w:r>
        <w:rPr>
          <w:lang w:eastAsia="en-GB"/>
        </w:rPr>
        <w:t xml:space="preserve"> </w:t>
      </w:r>
      <w:r w:rsidR="00EE1482">
        <w:rPr>
          <w:lang w:eastAsia="en-GB"/>
        </w:rPr>
        <w:t>T</w:t>
      </w:r>
      <w:r>
        <w:rPr>
          <w:lang w:eastAsia="en-GB"/>
        </w:rPr>
        <w:t>hey knew the details of the</w:t>
      </w:r>
      <w:r w:rsidR="00EE1482">
        <w:rPr>
          <w:lang w:eastAsia="en-GB"/>
        </w:rPr>
        <w:t>ir chosen</w:t>
      </w:r>
      <w:r>
        <w:rPr>
          <w:lang w:eastAsia="en-GB"/>
        </w:rPr>
        <w:t xml:space="preserve"> subtopic and </w:t>
      </w:r>
      <w:r w:rsidR="00EE1482">
        <w:rPr>
          <w:lang w:eastAsia="en-GB"/>
        </w:rPr>
        <w:t xml:space="preserve">used </w:t>
      </w:r>
      <w:r>
        <w:rPr>
          <w:lang w:eastAsia="en-GB"/>
        </w:rPr>
        <w:t>the requisite key phrases to communicate their information, ideas and opinions confidently</w:t>
      </w:r>
      <w:r w:rsidR="00EE1482">
        <w:rPr>
          <w:lang w:eastAsia="en-GB"/>
        </w:rPr>
        <w:t>.</w:t>
      </w:r>
      <w:r>
        <w:rPr>
          <w:lang w:eastAsia="en-GB"/>
        </w:rPr>
        <w:t xml:space="preserve"> </w:t>
      </w:r>
      <w:r w:rsidR="00EE1482">
        <w:rPr>
          <w:lang w:eastAsia="en-GB"/>
        </w:rPr>
        <w:t xml:space="preserve">They were able to </w:t>
      </w:r>
      <w:r>
        <w:rPr>
          <w:lang w:eastAsia="en-GB"/>
        </w:rPr>
        <w:t>carr</w:t>
      </w:r>
      <w:r w:rsidR="00EE1482">
        <w:rPr>
          <w:lang w:eastAsia="en-GB"/>
        </w:rPr>
        <w:t>y</w:t>
      </w:r>
      <w:r>
        <w:rPr>
          <w:lang w:eastAsia="en-GB"/>
        </w:rPr>
        <w:t xml:space="preserve"> the discussion forward with spontaneity. </w:t>
      </w:r>
      <w:r w:rsidR="009B01EB">
        <w:rPr>
          <w:lang w:eastAsia="en-GB"/>
        </w:rPr>
        <w:t>Furthermore</w:t>
      </w:r>
      <w:r>
        <w:rPr>
          <w:lang w:eastAsia="en-GB"/>
        </w:rPr>
        <w:t>, they use</w:t>
      </w:r>
      <w:r w:rsidR="009B01EB">
        <w:rPr>
          <w:lang w:eastAsia="en-GB"/>
        </w:rPr>
        <w:t>d</w:t>
      </w:r>
      <w:r>
        <w:rPr>
          <w:lang w:eastAsia="en-GB"/>
        </w:rPr>
        <w:t xml:space="preserve"> the image effectively to support the discussion o</w:t>
      </w:r>
      <w:r w:rsidR="00D97C88">
        <w:rPr>
          <w:lang w:eastAsia="en-GB"/>
        </w:rPr>
        <w:t>f</w:t>
      </w:r>
      <w:r>
        <w:rPr>
          <w:lang w:eastAsia="en-GB"/>
        </w:rPr>
        <w:t xml:space="preserve"> the subtopic.</w:t>
      </w:r>
    </w:p>
    <w:p w14:paraId="7ACEB5D2" w14:textId="54884049" w:rsidR="009E0451" w:rsidRDefault="000D4A89" w:rsidP="009E0451">
      <w:pPr>
        <w:pStyle w:val="VCAAbody"/>
        <w:rPr>
          <w:lang w:eastAsia="en-GB"/>
        </w:rPr>
      </w:pPr>
      <w:r>
        <w:rPr>
          <w:lang w:eastAsia="en-GB"/>
        </w:rPr>
        <w:t xml:space="preserve">One aspect that was done well by some students was </w:t>
      </w:r>
      <w:r w:rsidR="009E0451">
        <w:rPr>
          <w:lang w:eastAsia="en-GB"/>
        </w:rPr>
        <w:t xml:space="preserve">drawing attention to the different meanings </w:t>
      </w:r>
      <w:r w:rsidR="009B01EB">
        <w:rPr>
          <w:lang w:eastAsia="en-GB"/>
        </w:rPr>
        <w:t xml:space="preserve">conveyed by </w:t>
      </w:r>
      <w:r w:rsidR="009E0451">
        <w:rPr>
          <w:lang w:eastAsia="en-GB"/>
        </w:rPr>
        <w:t xml:space="preserve">the different colours. Students are strongly encouraged to bring an image that reflects Indonesian culture to the examination; spending some time to select the appropriate image is an important part of the student’s preparation. </w:t>
      </w:r>
      <w:r w:rsidR="00434271">
        <w:rPr>
          <w:lang w:eastAsia="en-GB"/>
        </w:rPr>
        <w:t>T</w:t>
      </w:r>
      <w:r w:rsidR="00E4632D">
        <w:rPr>
          <w:lang w:eastAsia="en-GB"/>
        </w:rPr>
        <w:t>he image should be</w:t>
      </w:r>
      <w:r w:rsidR="009B01EB">
        <w:rPr>
          <w:lang w:eastAsia="en-GB"/>
        </w:rPr>
        <w:t xml:space="preserve"> </w:t>
      </w:r>
      <w:r w:rsidR="00E4632D">
        <w:t>large enough to discuss comfortably with two assessors</w:t>
      </w:r>
      <w:r w:rsidR="009B01EB">
        <w:rPr>
          <w:lang w:eastAsia="en-GB"/>
        </w:rPr>
        <w:t>.</w:t>
      </w:r>
    </w:p>
    <w:p w14:paraId="672240E8" w14:textId="12F14FD3" w:rsidR="009E0451" w:rsidRDefault="009E0451" w:rsidP="009E0451">
      <w:pPr>
        <w:pStyle w:val="VCAAbody"/>
        <w:rPr>
          <w:lang w:eastAsia="en-GB"/>
        </w:rPr>
      </w:pPr>
      <w:r>
        <w:rPr>
          <w:lang w:eastAsia="en-GB"/>
        </w:rPr>
        <w:t xml:space="preserve">The selection of an appropriate subtopic is essential. </w:t>
      </w:r>
      <w:r w:rsidR="009B01EB">
        <w:rPr>
          <w:lang w:eastAsia="en-GB"/>
        </w:rPr>
        <w:t xml:space="preserve">Some students may prefer choosing </w:t>
      </w:r>
      <w:r>
        <w:rPr>
          <w:lang w:eastAsia="en-GB"/>
        </w:rPr>
        <w:t xml:space="preserve">more accessible subtopics from the </w:t>
      </w:r>
      <w:r w:rsidR="000269B5">
        <w:rPr>
          <w:lang w:eastAsia="en-GB"/>
        </w:rPr>
        <w:t xml:space="preserve">Indonesian study design’s </w:t>
      </w:r>
      <w:r>
        <w:rPr>
          <w:lang w:eastAsia="en-GB"/>
        </w:rPr>
        <w:t xml:space="preserve">second theme </w:t>
      </w:r>
      <w:r w:rsidR="009B01EB">
        <w:rPr>
          <w:lang w:eastAsia="en-GB"/>
        </w:rPr>
        <w:t>(</w:t>
      </w:r>
      <w:r w:rsidR="000269B5">
        <w:rPr>
          <w:lang w:eastAsia="en-GB"/>
        </w:rPr>
        <w:t>‘</w:t>
      </w:r>
      <w:r>
        <w:rPr>
          <w:lang w:eastAsia="en-GB"/>
        </w:rPr>
        <w:t>The Indonesian-speaking communities</w:t>
      </w:r>
      <w:r w:rsidR="000269B5">
        <w:rPr>
          <w:lang w:eastAsia="en-GB"/>
        </w:rPr>
        <w:t>’)</w:t>
      </w:r>
      <w:r>
        <w:rPr>
          <w:lang w:eastAsia="en-GB"/>
        </w:rPr>
        <w:t xml:space="preserve"> </w:t>
      </w:r>
      <w:r w:rsidR="000269B5">
        <w:rPr>
          <w:lang w:eastAsia="en-GB"/>
        </w:rPr>
        <w:t>or</w:t>
      </w:r>
      <w:r>
        <w:rPr>
          <w:lang w:eastAsia="en-GB"/>
        </w:rPr>
        <w:t xml:space="preserve"> third theme </w:t>
      </w:r>
      <w:r w:rsidR="000269B5">
        <w:rPr>
          <w:lang w:eastAsia="en-GB"/>
        </w:rPr>
        <w:t>(‘</w:t>
      </w:r>
      <w:r>
        <w:rPr>
          <w:lang w:eastAsia="en-GB"/>
        </w:rPr>
        <w:t>The world around us</w:t>
      </w:r>
      <w:r w:rsidR="000269B5">
        <w:rPr>
          <w:lang w:eastAsia="en-GB"/>
        </w:rPr>
        <w:t>’)</w:t>
      </w:r>
      <w:r>
        <w:rPr>
          <w:lang w:eastAsia="en-GB"/>
        </w:rPr>
        <w:t xml:space="preserve">. </w:t>
      </w:r>
      <w:r w:rsidR="000269B5">
        <w:rPr>
          <w:lang w:eastAsia="en-GB"/>
        </w:rPr>
        <w:t>T</w:t>
      </w:r>
      <w:r>
        <w:rPr>
          <w:lang w:eastAsia="en-GB"/>
        </w:rPr>
        <w:t xml:space="preserve">o do well in the </w:t>
      </w:r>
      <w:r w:rsidR="00591868">
        <w:rPr>
          <w:lang w:eastAsia="en-GB"/>
        </w:rPr>
        <w:t>d</w:t>
      </w:r>
      <w:r>
        <w:rPr>
          <w:lang w:eastAsia="en-GB"/>
        </w:rPr>
        <w:t xml:space="preserve">iscussion, students should pay attention to </w:t>
      </w:r>
      <w:r w:rsidR="000269B5">
        <w:rPr>
          <w:lang w:eastAsia="en-GB"/>
        </w:rPr>
        <w:t xml:space="preserve">the </w:t>
      </w:r>
      <w:r>
        <w:rPr>
          <w:lang w:eastAsia="en-GB"/>
        </w:rPr>
        <w:t xml:space="preserve">question words in the </w:t>
      </w:r>
      <w:r w:rsidR="00591868">
        <w:rPr>
          <w:lang w:eastAsia="en-GB"/>
        </w:rPr>
        <w:t>study design</w:t>
      </w:r>
      <w:r>
        <w:rPr>
          <w:lang w:eastAsia="en-GB"/>
        </w:rPr>
        <w:t xml:space="preserve"> to familiarise themselves with the range of questions that may be asked, thereby reducing the likelihood of repeat</w:t>
      </w:r>
      <w:r w:rsidR="000269B5">
        <w:rPr>
          <w:lang w:eastAsia="en-GB"/>
        </w:rPr>
        <w:t>edly</w:t>
      </w:r>
      <w:r>
        <w:rPr>
          <w:lang w:eastAsia="en-GB"/>
        </w:rPr>
        <w:t xml:space="preserve"> asking questions such as </w:t>
      </w:r>
      <w:proofErr w:type="spellStart"/>
      <w:r w:rsidRPr="006A00EB">
        <w:rPr>
          <w:rStyle w:val="VCAAbodyitalic"/>
        </w:rPr>
        <w:t>Maaf</w:t>
      </w:r>
      <w:proofErr w:type="spellEnd"/>
      <w:r w:rsidRPr="006A00EB">
        <w:rPr>
          <w:rStyle w:val="VCAAbodyitalic"/>
        </w:rPr>
        <w:t xml:space="preserve">, </w:t>
      </w:r>
      <w:proofErr w:type="spellStart"/>
      <w:r w:rsidRPr="006A00EB">
        <w:rPr>
          <w:rStyle w:val="VCAAbodyitalic"/>
        </w:rPr>
        <w:t>apa</w:t>
      </w:r>
      <w:proofErr w:type="spellEnd"/>
      <w:r w:rsidRPr="006A00EB">
        <w:rPr>
          <w:rStyle w:val="VCAAbodyitalic"/>
        </w:rPr>
        <w:t xml:space="preserve"> kata </w:t>
      </w:r>
      <w:proofErr w:type="spellStart"/>
      <w:r w:rsidRPr="006A00EB">
        <w:rPr>
          <w:rStyle w:val="VCAAbodyitalic"/>
        </w:rPr>
        <w:t>untuk</w:t>
      </w:r>
      <w:proofErr w:type="spellEnd"/>
      <w:r w:rsidRPr="006A00EB">
        <w:rPr>
          <w:rStyle w:val="VCAAbodyitalic"/>
        </w:rPr>
        <w:t xml:space="preserve"> …? </w:t>
      </w:r>
      <w:r>
        <w:rPr>
          <w:lang w:eastAsia="en-GB"/>
        </w:rPr>
        <w:t xml:space="preserve">(What is the word for …?) or </w:t>
      </w:r>
      <w:proofErr w:type="spellStart"/>
      <w:r w:rsidRPr="006A00EB">
        <w:rPr>
          <w:rStyle w:val="VCAAbodyitalic"/>
        </w:rPr>
        <w:t>Maaf</w:t>
      </w:r>
      <w:proofErr w:type="spellEnd"/>
      <w:r w:rsidRPr="006A00EB">
        <w:rPr>
          <w:rStyle w:val="VCAAbodyitalic"/>
        </w:rPr>
        <w:t xml:space="preserve">, </w:t>
      </w:r>
      <w:proofErr w:type="spellStart"/>
      <w:r w:rsidRPr="006A00EB">
        <w:rPr>
          <w:rStyle w:val="VCAAbodyitalic"/>
        </w:rPr>
        <w:t>saya</w:t>
      </w:r>
      <w:proofErr w:type="spellEnd"/>
      <w:r w:rsidRPr="006A00EB">
        <w:rPr>
          <w:rStyle w:val="VCAAbodyitalic"/>
        </w:rPr>
        <w:t xml:space="preserve"> </w:t>
      </w:r>
      <w:proofErr w:type="spellStart"/>
      <w:r w:rsidRPr="006A00EB">
        <w:rPr>
          <w:rStyle w:val="VCAAbodyitalic"/>
        </w:rPr>
        <w:t>tidak</w:t>
      </w:r>
      <w:proofErr w:type="spellEnd"/>
      <w:r w:rsidRPr="006A00EB">
        <w:rPr>
          <w:rStyle w:val="VCAAbodyitalic"/>
        </w:rPr>
        <w:t xml:space="preserve"> </w:t>
      </w:r>
      <w:proofErr w:type="spellStart"/>
      <w:r w:rsidRPr="006A00EB">
        <w:rPr>
          <w:rStyle w:val="VCAAbodyitalic"/>
        </w:rPr>
        <w:t>tahu</w:t>
      </w:r>
      <w:proofErr w:type="spellEnd"/>
      <w:r w:rsidRPr="006A00EB">
        <w:rPr>
          <w:rStyle w:val="VCAAbodyitalic"/>
        </w:rPr>
        <w:t xml:space="preserve"> </w:t>
      </w:r>
      <w:r>
        <w:rPr>
          <w:lang w:eastAsia="en-GB"/>
        </w:rPr>
        <w:t>(Sorry, I don’t know)</w:t>
      </w:r>
      <w:r w:rsidR="00D93664">
        <w:rPr>
          <w:lang w:eastAsia="en-GB"/>
        </w:rPr>
        <w:t>.</w:t>
      </w:r>
      <w:r>
        <w:rPr>
          <w:lang w:eastAsia="en-GB"/>
        </w:rPr>
        <w:t xml:space="preserve">  </w:t>
      </w:r>
    </w:p>
    <w:p w14:paraId="7766FA5C" w14:textId="1F300BFE" w:rsidR="00F87477" w:rsidRPr="00D95C71" w:rsidRDefault="009E0451" w:rsidP="006A00EB">
      <w:pPr>
        <w:pStyle w:val="VCAAbody"/>
      </w:pPr>
      <w:r>
        <w:rPr>
          <w:lang w:eastAsia="en-GB"/>
        </w:rPr>
        <w:t xml:space="preserve">The </w:t>
      </w:r>
      <w:r w:rsidR="000D4A89">
        <w:rPr>
          <w:lang w:eastAsia="en-GB"/>
        </w:rPr>
        <w:t xml:space="preserve">discussion </w:t>
      </w:r>
      <w:r>
        <w:rPr>
          <w:lang w:eastAsia="en-GB"/>
        </w:rPr>
        <w:t xml:space="preserve">provides many opportunities for students to show their </w:t>
      </w:r>
      <w:r w:rsidR="000269B5">
        <w:rPr>
          <w:lang w:eastAsia="en-GB"/>
        </w:rPr>
        <w:t>grasp</w:t>
      </w:r>
      <w:r w:rsidR="00472C9B">
        <w:rPr>
          <w:lang w:eastAsia="en-GB"/>
        </w:rPr>
        <w:t xml:space="preserve"> of </w:t>
      </w:r>
      <w:r>
        <w:rPr>
          <w:lang w:eastAsia="en-GB"/>
        </w:rPr>
        <w:t xml:space="preserve">the passive voice. </w:t>
      </w:r>
      <w:r w:rsidR="00472C9B">
        <w:rPr>
          <w:lang w:eastAsia="en-GB"/>
        </w:rPr>
        <w:t>The k</w:t>
      </w:r>
      <w:r>
        <w:rPr>
          <w:lang w:eastAsia="en-GB"/>
        </w:rPr>
        <w:t xml:space="preserve">nowledge and skills </w:t>
      </w:r>
      <w:r w:rsidR="00472C9B">
        <w:rPr>
          <w:lang w:eastAsia="en-GB"/>
        </w:rPr>
        <w:t xml:space="preserve">required for the </w:t>
      </w:r>
      <w:r>
        <w:rPr>
          <w:lang w:eastAsia="en-GB"/>
        </w:rPr>
        <w:t xml:space="preserve">passive construction </w:t>
      </w:r>
      <w:r w:rsidR="00472C9B">
        <w:rPr>
          <w:lang w:eastAsia="en-GB"/>
        </w:rPr>
        <w:t xml:space="preserve">would greatly enhance </w:t>
      </w:r>
      <w:r>
        <w:rPr>
          <w:lang w:eastAsia="en-GB"/>
        </w:rPr>
        <w:t xml:space="preserve">the complexity level of their grammar. With </w:t>
      </w:r>
      <w:r w:rsidR="00472C9B">
        <w:rPr>
          <w:lang w:eastAsia="en-GB"/>
        </w:rPr>
        <w:t xml:space="preserve">the use of connector </w:t>
      </w:r>
      <w:r>
        <w:rPr>
          <w:lang w:eastAsia="en-GB"/>
        </w:rPr>
        <w:t xml:space="preserve">phrases such as </w:t>
      </w:r>
      <w:proofErr w:type="spellStart"/>
      <w:r w:rsidRPr="006A00EB">
        <w:rPr>
          <w:rStyle w:val="VCAAbodyitalic"/>
        </w:rPr>
        <w:t>tidak</w:t>
      </w:r>
      <w:proofErr w:type="spellEnd"/>
      <w:r w:rsidRPr="006A00EB">
        <w:rPr>
          <w:rStyle w:val="VCAAbodyitalic"/>
        </w:rPr>
        <w:t xml:space="preserve"> </w:t>
      </w:r>
      <w:proofErr w:type="spellStart"/>
      <w:r w:rsidRPr="006A00EB">
        <w:rPr>
          <w:rStyle w:val="VCAAbodyitalic"/>
        </w:rPr>
        <w:t>dapat</w:t>
      </w:r>
      <w:proofErr w:type="spellEnd"/>
      <w:r w:rsidRPr="006A00EB">
        <w:rPr>
          <w:rStyle w:val="VCAAbodyitalic"/>
        </w:rPr>
        <w:t xml:space="preserve"> </w:t>
      </w:r>
      <w:proofErr w:type="spellStart"/>
      <w:r w:rsidRPr="006A00EB">
        <w:rPr>
          <w:rStyle w:val="VCAAbodyitalic"/>
        </w:rPr>
        <w:t>disangkal</w:t>
      </w:r>
      <w:proofErr w:type="spellEnd"/>
      <w:r w:rsidRPr="006A00EB">
        <w:rPr>
          <w:rStyle w:val="VCAAbodyitalic"/>
        </w:rPr>
        <w:t xml:space="preserve"> </w:t>
      </w:r>
      <w:proofErr w:type="spellStart"/>
      <w:r w:rsidRPr="006A00EB">
        <w:rPr>
          <w:rStyle w:val="VCAAbodyitalic"/>
        </w:rPr>
        <w:t>lagi</w:t>
      </w:r>
      <w:proofErr w:type="spellEnd"/>
      <w:r>
        <w:rPr>
          <w:lang w:eastAsia="en-GB"/>
        </w:rPr>
        <w:t xml:space="preserve"> (there’s no denying) and </w:t>
      </w:r>
      <w:proofErr w:type="spellStart"/>
      <w:r w:rsidRPr="006A00EB">
        <w:rPr>
          <w:rStyle w:val="VCAAbodyitalic"/>
        </w:rPr>
        <w:t>mau</w:t>
      </w:r>
      <w:proofErr w:type="spellEnd"/>
      <w:r w:rsidRPr="006A00EB">
        <w:rPr>
          <w:rStyle w:val="VCAAbodyitalic"/>
        </w:rPr>
        <w:t xml:space="preserve"> </w:t>
      </w:r>
      <w:proofErr w:type="spellStart"/>
      <w:r w:rsidRPr="006A00EB">
        <w:rPr>
          <w:rStyle w:val="VCAAbodyitalic"/>
        </w:rPr>
        <w:t>tak</w:t>
      </w:r>
      <w:proofErr w:type="spellEnd"/>
      <w:r w:rsidRPr="006A00EB">
        <w:rPr>
          <w:rStyle w:val="VCAAbodyitalic"/>
        </w:rPr>
        <w:t xml:space="preserve"> </w:t>
      </w:r>
      <w:proofErr w:type="spellStart"/>
      <w:r w:rsidRPr="006A00EB">
        <w:rPr>
          <w:rStyle w:val="VCAAbodyitalic"/>
        </w:rPr>
        <w:t>mau</w:t>
      </w:r>
      <w:proofErr w:type="spellEnd"/>
      <w:r>
        <w:rPr>
          <w:lang w:eastAsia="en-GB"/>
        </w:rPr>
        <w:t xml:space="preserve"> (inevitably), and the occasional inclusion of Indonesian proverbs</w:t>
      </w:r>
      <w:r w:rsidR="00D93664">
        <w:rPr>
          <w:lang w:eastAsia="en-GB"/>
        </w:rPr>
        <w:t xml:space="preserve"> such as</w:t>
      </w:r>
      <w:r>
        <w:rPr>
          <w:lang w:eastAsia="en-GB"/>
        </w:rPr>
        <w:t xml:space="preserve"> </w:t>
      </w:r>
      <w:r w:rsidRPr="006A00EB">
        <w:rPr>
          <w:rStyle w:val="VCAAbodyitalic"/>
        </w:rPr>
        <w:t xml:space="preserve">nasi </w:t>
      </w:r>
      <w:proofErr w:type="spellStart"/>
      <w:r w:rsidRPr="006A00EB">
        <w:rPr>
          <w:rStyle w:val="VCAAbodyitalic"/>
        </w:rPr>
        <w:t>sudah</w:t>
      </w:r>
      <w:proofErr w:type="spellEnd"/>
      <w:r w:rsidRPr="006A00EB">
        <w:rPr>
          <w:rStyle w:val="VCAAbodyitalic"/>
        </w:rPr>
        <w:t xml:space="preserve"> </w:t>
      </w:r>
      <w:proofErr w:type="spellStart"/>
      <w:r w:rsidRPr="006A00EB">
        <w:rPr>
          <w:rStyle w:val="VCAAbodyitalic"/>
        </w:rPr>
        <w:t>menjadi</w:t>
      </w:r>
      <w:proofErr w:type="spellEnd"/>
      <w:r w:rsidRPr="006A00EB">
        <w:rPr>
          <w:rStyle w:val="VCAAbodyitalic"/>
        </w:rPr>
        <w:t xml:space="preserve"> </w:t>
      </w:r>
      <w:proofErr w:type="spellStart"/>
      <w:r w:rsidRPr="006A00EB">
        <w:rPr>
          <w:rStyle w:val="VCAAbodyitalic"/>
        </w:rPr>
        <w:t>bubur</w:t>
      </w:r>
      <w:proofErr w:type="spellEnd"/>
      <w:r w:rsidRPr="006A00EB">
        <w:rPr>
          <w:rStyle w:val="VCAAbodyitalic"/>
        </w:rPr>
        <w:t xml:space="preserve"> </w:t>
      </w:r>
      <w:r>
        <w:rPr>
          <w:lang w:eastAsia="en-GB"/>
        </w:rPr>
        <w:t xml:space="preserve">(it’s no use crying over spilt milk), students would be better </w:t>
      </w:r>
      <w:r w:rsidR="00472C9B">
        <w:rPr>
          <w:lang w:eastAsia="en-GB"/>
        </w:rPr>
        <w:t xml:space="preserve">prepared for </w:t>
      </w:r>
      <w:r>
        <w:rPr>
          <w:lang w:eastAsia="en-GB"/>
        </w:rPr>
        <w:t>the oral examination.</w:t>
      </w:r>
    </w:p>
    <w:sectPr w:rsidR="00F87477" w:rsidRPr="00D95C71"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C05" w14:textId="77777777" w:rsidR="00AD2083" w:rsidRDefault="00AD2083" w:rsidP="00304EA1">
      <w:pPr>
        <w:spacing w:after="0" w:line="240" w:lineRule="auto"/>
      </w:pPr>
      <w:r>
        <w:separator/>
      </w:r>
    </w:p>
  </w:endnote>
  <w:endnote w:type="continuationSeparator" w:id="0">
    <w:p w14:paraId="5603C415" w14:textId="77777777" w:rsidR="00AD2083" w:rsidRDefault="00AD20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1A0611E7">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34B79E7">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119F" w14:textId="77777777" w:rsidR="00AD2083" w:rsidRDefault="00AD2083" w:rsidP="00304EA1">
      <w:pPr>
        <w:spacing w:after="0" w:line="240" w:lineRule="auto"/>
      </w:pPr>
      <w:r>
        <w:separator/>
      </w:r>
    </w:p>
  </w:footnote>
  <w:footnote w:type="continuationSeparator" w:id="0">
    <w:p w14:paraId="02539435" w14:textId="77777777" w:rsidR="00AD2083" w:rsidRDefault="00AD20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F457939" w:rsidR="00FD29D3" w:rsidRPr="00D86DE4" w:rsidRDefault="00941AB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E4C77">
          <w:rPr>
            <w:color w:val="999999" w:themeColor="accent2"/>
          </w:rPr>
          <w:t>2021 VCE Indonesian Second Language oral external assessment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779D946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69B5"/>
    <w:rsid w:val="0005780E"/>
    <w:rsid w:val="00065CC6"/>
    <w:rsid w:val="000A71F7"/>
    <w:rsid w:val="000D4A89"/>
    <w:rsid w:val="000F09E4"/>
    <w:rsid w:val="000F16FD"/>
    <w:rsid w:val="000F5AAF"/>
    <w:rsid w:val="00143520"/>
    <w:rsid w:val="00144F80"/>
    <w:rsid w:val="00153AD2"/>
    <w:rsid w:val="001779EA"/>
    <w:rsid w:val="001D3246"/>
    <w:rsid w:val="002179C6"/>
    <w:rsid w:val="002279BA"/>
    <w:rsid w:val="002329F3"/>
    <w:rsid w:val="00243F0D"/>
    <w:rsid w:val="00245EF2"/>
    <w:rsid w:val="00260767"/>
    <w:rsid w:val="002647BB"/>
    <w:rsid w:val="002754C1"/>
    <w:rsid w:val="002834B7"/>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271"/>
    <w:rsid w:val="00434EDB"/>
    <w:rsid w:val="00440B32"/>
    <w:rsid w:val="0046078D"/>
    <w:rsid w:val="00472C9B"/>
    <w:rsid w:val="00495C80"/>
    <w:rsid w:val="004A2ED8"/>
    <w:rsid w:val="004C73D4"/>
    <w:rsid w:val="004F5BDA"/>
    <w:rsid w:val="0051631E"/>
    <w:rsid w:val="00537A1F"/>
    <w:rsid w:val="00566029"/>
    <w:rsid w:val="00591868"/>
    <w:rsid w:val="005923CB"/>
    <w:rsid w:val="005B324B"/>
    <w:rsid w:val="005B391B"/>
    <w:rsid w:val="005D3D78"/>
    <w:rsid w:val="005E2EF0"/>
    <w:rsid w:val="005E3B8B"/>
    <w:rsid w:val="005F4092"/>
    <w:rsid w:val="00681C4E"/>
    <w:rsid w:val="0068471E"/>
    <w:rsid w:val="00684F98"/>
    <w:rsid w:val="00693FFD"/>
    <w:rsid w:val="006A00EB"/>
    <w:rsid w:val="006A6431"/>
    <w:rsid w:val="006D2159"/>
    <w:rsid w:val="006E4C77"/>
    <w:rsid w:val="006F787C"/>
    <w:rsid w:val="00702636"/>
    <w:rsid w:val="00724507"/>
    <w:rsid w:val="00773E6C"/>
    <w:rsid w:val="00781FB1"/>
    <w:rsid w:val="007D1B6D"/>
    <w:rsid w:val="00813C37"/>
    <w:rsid w:val="008154B5"/>
    <w:rsid w:val="00823962"/>
    <w:rsid w:val="00830CAC"/>
    <w:rsid w:val="00850410"/>
    <w:rsid w:val="00852719"/>
    <w:rsid w:val="00860115"/>
    <w:rsid w:val="0088783C"/>
    <w:rsid w:val="00893A2C"/>
    <w:rsid w:val="009169C7"/>
    <w:rsid w:val="009370BC"/>
    <w:rsid w:val="00970580"/>
    <w:rsid w:val="0098739B"/>
    <w:rsid w:val="009B01EB"/>
    <w:rsid w:val="009B130A"/>
    <w:rsid w:val="009B61E5"/>
    <w:rsid w:val="009B740F"/>
    <w:rsid w:val="009C4B15"/>
    <w:rsid w:val="009D1E89"/>
    <w:rsid w:val="009E0451"/>
    <w:rsid w:val="009E140B"/>
    <w:rsid w:val="009E5707"/>
    <w:rsid w:val="00A17661"/>
    <w:rsid w:val="00A24B2D"/>
    <w:rsid w:val="00A40966"/>
    <w:rsid w:val="00A921E0"/>
    <w:rsid w:val="00A922F4"/>
    <w:rsid w:val="00A9660F"/>
    <w:rsid w:val="00AB3DFA"/>
    <w:rsid w:val="00AD2083"/>
    <w:rsid w:val="00AE5526"/>
    <w:rsid w:val="00AF051B"/>
    <w:rsid w:val="00AF2BC8"/>
    <w:rsid w:val="00B01578"/>
    <w:rsid w:val="00B0738F"/>
    <w:rsid w:val="00B13D3B"/>
    <w:rsid w:val="00B230DB"/>
    <w:rsid w:val="00B26601"/>
    <w:rsid w:val="00B41951"/>
    <w:rsid w:val="00B53229"/>
    <w:rsid w:val="00B548EE"/>
    <w:rsid w:val="00B62480"/>
    <w:rsid w:val="00B81B70"/>
    <w:rsid w:val="00BB3BAB"/>
    <w:rsid w:val="00BD0724"/>
    <w:rsid w:val="00BD2B91"/>
    <w:rsid w:val="00BE5521"/>
    <w:rsid w:val="00BF6C23"/>
    <w:rsid w:val="00BF78E0"/>
    <w:rsid w:val="00C301E3"/>
    <w:rsid w:val="00C53263"/>
    <w:rsid w:val="00C64570"/>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93664"/>
    <w:rsid w:val="00D95C71"/>
    <w:rsid w:val="00D97C88"/>
    <w:rsid w:val="00DE1909"/>
    <w:rsid w:val="00DE51DB"/>
    <w:rsid w:val="00E14C25"/>
    <w:rsid w:val="00E23F1D"/>
    <w:rsid w:val="00E30E05"/>
    <w:rsid w:val="00E36361"/>
    <w:rsid w:val="00E4632D"/>
    <w:rsid w:val="00E55AE9"/>
    <w:rsid w:val="00EA7885"/>
    <w:rsid w:val="00EB0C84"/>
    <w:rsid w:val="00EC1467"/>
    <w:rsid w:val="00EE1482"/>
    <w:rsid w:val="00F14B32"/>
    <w:rsid w:val="00F17FDE"/>
    <w:rsid w:val="00F40D53"/>
    <w:rsid w:val="00F4522E"/>
    <w:rsid w:val="00F4525C"/>
    <w:rsid w:val="00F50D86"/>
    <w:rsid w:val="00F87477"/>
    <w:rsid w:val="00F95A0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9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D95C71"/>
    <w:pPr>
      <w:spacing w:after="0" w:line="240" w:lineRule="auto"/>
    </w:pPr>
  </w:style>
  <w:style w:type="character" w:customStyle="1" w:styleId="VCAAbodyitalic">
    <w:name w:val="VCAA body italic"/>
    <w:basedOn w:val="DefaultParagraphFont"/>
    <w:uiPriority w:val="1"/>
    <w:qFormat/>
    <w:rsid w:val="00D95C71"/>
    <w:rPr>
      <w:i/>
      <w:iCs/>
      <w:lang w:eastAsia="en-GB"/>
    </w:rPr>
  </w:style>
  <w:style w:type="character" w:styleId="CommentReference">
    <w:name w:val="annotation reference"/>
    <w:basedOn w:val="DefaultParagraphFont"/>
    <w:uiPriority w:val="99"/>
    <w:semiHidden/>
    <w:unhideWhenUsed/>
    <w:rsid w:val="000269B5"/>
    <w:rPr>
      <w:sz w:val="16"/>
      <w:szCs w:val="16"/>
    </w:rPr>
  </w:style>
  <w:style w:type="paragraph" w:styleId="CommentText">
    <w:name w:val="annotation text"/>
    <w:basedOn w:val="Normal"/>
    <w:link w:val="CommentTextChar"/>
    <w:uiPriority w:val="99"/>
    <w:semiHidden/>
    <w:unhideWhenUsed/>
    <w:rsid w:val="000269B5"/>
    <w:pPr>
      <w:spacing w:line="240" w:lineRule="auto"/>
    </w:pPr>
    <w:rPr>
      <w:sz w:val="20"/>
      <w:szCs w:val="20"/>
    </w:rPr>
  </w:style>
  <w:style w:type="character" w:customStyle="1" w:styleId="CommentTextChar">
    <w:name w:val="Comment Text Char"/>
    <w:basedOn w:val="DefaultParagraphFont"/>
    <w:link w:val="CommentText"/>
    <w:uiPriority w:val="99"/>
    <w:semiHidden/>
    <w:rsid w:val="000269B5"/>
    <w:rPr>
      <w:sz w:val="20"/>
      <w:szCs w:val="20"/>
    </w:rPr>
  </w:style>
  <w:style w:type="paragraph" w:styleId="CommentSubject">
    <w:name w:val="annotation subject"/>
    <w:basedOn w:val="CommentText"/>
    <w:next w:val="CommentText"/>
    <w:link w:val="CommentSubjectChar"/>
    <w:uiPriority w:val="99"/>
    <w:semiHidden/>
    <w:unhideWhenUsed/>
    <w:rsid w:val="000269B5"/>
    <w:rPr>
      <w:b/>
      <w:bCs/>
    </w:rPr>
  </w:style>
  <w:style w:type="character" w:customStyle="1" w:styleId="CommentSubjectChar">
    <w:name w:val="Comment Subject Char"/>
    <w:basedOn w:val="CommentTextChar"/>
    <w:link w:val="CommentSubject"/>
    <w:uiPriority w:val="99"/>
    <w:semiHidden/>
    <w:rsid w:val="000269B5"/>
    <w:rPr>
      <w:b/>
      <w:bCs/>
      <w:sz w:val="20"/>
      <w:szCs w:val="20"/>
    </w:rPr>
  </w:style>
  <w:style w:type="character" w:styleId="UnresolvedMention">
    <w:name w:val="Unresolved Mention"/>
    <w:basedOn w:val="DefaultParagraphFont"/>
    <w:uiPriority w:val="99"/>
    <w:semiHidden/>
    <w:unhideWhenUsed/>
    <w:rsid w:val="00B5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ndonesian-Second-Languag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12A45"/>
    <w:rsid w:val="004F3AB3"/>
    <w:rsid w:val="0062293F"/>
    <w:rsid w:val="007D47F4"/>
    <w:rsid w:val="00855F1F"/>
    <w:rsid w:val="009325D2"/>
    <w:rsid w:val="00D428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Indonesian Second Language; oral;external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13888C-7D1B-482A-BEF4-ADB6DFF0B455}"/>
</file>

<file path=docProps/app.xml><?xml version="1.0" encoding="utf-8"?>
<Properties xmlns="http://schemas.openxmlformats.org/officeDocument/2006/extended-properties" xmlns:vt="http://schemas.openxmlformats.org/officeDocument/2006/docPropsVTypes">
  <Template>Normal.dotm</Template>
  <TotalTime>34</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2021 VCE Indonesian Second Language oral external assessment report</vt:lpstr>
    </vt:vector>
  </TitlesOfParts>
  <Company>Victorian Curriculum and Assessment Authority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Indonesian Second Language oral external assessment report</dc:title>
  <dc:creator/>
  <cp:keywords>2021; VCE; Indonesian Second Language; oral; external assessment report; exam report; Victorian Curriculum and Assessment Authority; VCAA</cp:keywords>
  <cp:lastModifiedBy>Victorian Curriculum and Assessment Authority</cp:lastModifiedBy>
  <cp:revision>14</cp:revision>
  <cp:lastPrinted>2022-03-22T23:24:00Z</cp:lastPrinted>
  <dcterms:created xsi:type="dcterms:W3CDTF">2022-02-28T22:20:00Z</dcterms:created>
  <dcterms:modified xsi:type="dcterms:W3CDTF">2022-04-05T11:39:00Z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