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9FE93BF" w:rsidR="00F4525C" w:rsidRDefault="00024018" w:rsidP="009B61E5">
      <w:pPr>
        <w:pStyle w:val="VCAADocumenttitle"/>
      </w:pPr>
      <w:r>
        <w:t>202</w:t>
      </w:r>
      <w:r w:rsidR="00BD1DF3">
        <w:t>2</w:t>
      </w:r>
      <w:r>
        <w:t xml:space="preserve"> </w:t>
      </w:r>
      <w:r w:rsidR="002C3163">
        <w:t>VCE Spanish</w:t>
      </w:r>
      <w:r w:rsidR="008604A1">
        <w:t xml:space="preserve"> </w:t>
      </w:r>
      <w:r w:rsidR="002C6F03">
        <w:t>oral</w:t>
      </w:r>
      <w:r w:rsidR="00400537">
        <w:t xml:space="preserve"> </w:t>
      </w:r>
      <w:r w:rsidR="0091429A">
        <w:t>external assessment</w:t>
      </w:r>
      <w:r>
        <w:t xml:space="preserve"> report</w:t>
      </w:r>
    </w:p>
    <w:p w14:paraId="3A0E1886" w14:textId="49CF98A8" w:rsidR="002C3163" w:rsidRDefault="00024018" w:rsidP="00350651">
      <w:pPr>
        <w:pStyle w:val="VCAAHeading1"/>
      </w:pPr>
      <w:bookmarkStart w:id="0" w:name="TemplateOverview"/>
      <w:bookmarkEnd w:id="0"/>
      <w:r>
        <w:t>General comments</w:t>
      </w:r>
    </w:p>
    <w:p w14:paraId="620C19D1" w14:textId="77777777" w:rsidR="00FD7DFC" w:rsidRPr="00480688" w:rsidRDefault="00FD7DFC" w:rsidP="00FD7DFC">
      <w:pPr>
        <w:pStyle w:val="VCAAbody"/>
        <w:rPr>
          <w:lang w:val="en-AU"/>
        </w:rPr>
      </w:pPr>
      <w:r>
        <w:rPr>
          <w:lang w:val="en-AU"/>
        </w:rPr>
        <w:t>Students were assessed on their</w:t>
      </w:r>
      <w:r w:rsidRPr="00480688">
        <w:rPr>
          <w:lang w:val="en-AU"/>
        </w:rPr>
        <w:t xml:space="preserve"> knowledge and skills in using spoken language. The examination ha</w:t>
      </w:r>
      <w:r>
        <w:rPr>
          <w:lang w:val="en-AU"/>
        </w:rPr>
        <w:t>d</w:t>
      </w:r>
      <w:r w:rsidRPr="00480688">
        <w:rPr>
          <w:lang w:val="en-AU"/>
        </w:rPr>
        <w:t xml:space="preserve"> two sections</w:t>
      </w:r>
      <w:r>
        <w:rPr>
          <w:lang w:val="en-AU"/>
        </w:rPr>
        <w:t>:</w:t>
      </w:r>
      <w:r w:rsidRPr="00480688">
        <w:rPr>
          <w:lang w:val="en-AU"/>
        </w:rPr>
        <w:t xml:space="preserve"> a </w:t>
      </w:r>
      <w:r>
        <w:rPr>
          <w:lang w:val="en-AU"/>
        </w:rPr>
        <w:t>conversation</w:t>
      </w:r>
      <w:r w:rsidRPr="00480688">
        <w:rPr>
          <w:lang w:val="en-AU"/>
        </w:rPr>
        <w:t xml:space="preserve"> of </w:t>
      </w:r>
      <w:r>
        <w:rPr>
          <w:lang w:val="en-AU"/>
        </w:rPr>
        <w:t>approximately seven</w:t>
      </w:r>
      <w:r w:rsidRPr="00480688">
        <w:rPr>
          <w:lang w:val="en-AU"/>
        </w:rPr>
        <w:t xml:space="preserve"> minutes and a </w:t>
      </w:r>
      <w:r>
        <w:rPr>
          <w:lang w:val="en-AU"/>
        </w:rPr>
        <w:t>d</w:t>
      </w:r>
      <w:r w:rsidRPr="00480688">
        <w:rPr>
          <w:lang w:val="en-AU"/>
        </w:rPr>
        <w:t xml:space="preserve">iscussion of approximately </w:t>
      </w:r>
      <w:r>
        <w:rPr>
          <w:lang w:val="en-AU"/>
        </w:rPr>
        <w:t>eight</w:t>
      </w:r>
      <w:r w:rsidRPr="00480688">
        <w:rPr>
          <w:lang w:val="en-AU"/>
        </w:rPr>
        <w:t xml:space="preserve"> minutes. </w:t>
      </w:r>
    </w:p>
    <w:p w14:paraId="05475A3F" w14:textId="77777777" w:rsidR="00FD7DFC" w:rsidRDefault="00FD7DFC" w:rsidP="00FD7DFC">
      <w:pPr>
        <w:pStyle w:val="VCAAbody"/>
      </w:pPr>
      <w:r>
        <w:t>In both sections, students were assessed in:</w:t>
      </w:r>
    </w:p>
    <w:p w14:paraId="1D5DC4E8" w14:textId="77777777" w:rsidR="00FD7DFC" w:rsidRPr="00FA6E65" w:rsidRDefault="00FD7DFC" w:rsidP="007473D5">
      <w:pPr>
        <w:pStyle w:val="VCAAbullet"/>
      </w:pPr>
      <w:r w:rsidRPr="00FA6E65">
        <w:t xml:space="preserve">content and communication (relevance, depth and range of information, ideas and opinions; capacity to elaborate and reflect on information, ideas and opinions; capacity to interact with assessors; and effective communication) </w:t>
      </w:r>
    </w:p>
    <w:p w14:paraId="3157BD97" w14:textId="77777777" w:rsidR="00FD7DFC" w:rsidRPr="00FA6E65" w:rsidRDefault="00FD7DFC" w:rsidP="007473D5">
      <w:pPr>
        <w:pStyle w:val="VCAAbullet"/>
      </w:pPr>
      <w:r w:rsidRPr="00FA6E65">
        <w:t>language (appropriateness of vocabulary, grammar and sentence structures; and clarity of expression, including pronunciation, intonation, stress and tempo).</w:t>
      </w:r>
    </w:p>
    <w:p w14:paraId="4662E4F0" w14:textId="5FF9CA25" w:rsidR="000573CD" w:rsidRPr="00D03BB8" w:rsidRDefault="00FE5E78" w:rsidP="00F70E05">
      <w:pPr>
        <w:pStyle w:val="VCAAbody"/>
        <w:rPr>
          <w:lang w:val="en-AU"/>
        </w:rPr>
      </w:pPr>
      <w:r w:rsidRPr="00D03BB8">
        <w:rPr>
          <w:lang w:val="en-AU"/>
        </w:rPr>
        <w:t>Overall, t</w:t>
      </w:r>
      <w:r w:rsidR="005C14D3" w:rsidRPr="00D03BB8">
        <w:rPr>
          <w:lang w:val="en-AU"/>
        </w:rPr>
        <w:t xml:space="preserve">he students were generally well prepared and familiar with the assessment process. Many were able to maintain a fluent conversation based on their own experiences, including their personal world and </w:t>
      </w:r>
      <w:r w:rsidR="004A4036">
        <w:rPr>
          <w:lang w:val="en-AU"/>
        </w:rPr>
        <w:t xml:space="preserve">their interactions </w:t>
      </w:r>
      <w:r w:rsidR="005C14D3" w:rsidRPr="00D03BB8">
        <w:rPr>
          <w:lang w:val="en-AU"/>
        </w:rPr>
        <w:t>with</w:t>
      </w:r>
      <w:r w:rsidR="000573CD" w:rsidRPr="00D03BB8">
        <w:rPr>
          <w:lang w:val="en-AU"/>
        </w:rPr>
        <w:t xml:space="preserve"> </w:t>
      </w:r>
      <w:r w:rsidR="004A4036">
        <w:rPr>
          <w:lang w:val="en-AU"/>
        </w:rPr>
        <w:t xml:space="preserve">the </w:t>
      </w:r>
      <w:r w:rsidR="005C14D3" w:rsidRPr="00D03BB8">
        <w:rPr>
          <w:lang w:val="en-AU"/>
        </w:rPr>
        <w:t>Spanish</w:t>
      </w:r>
      <w:r w:rsidR="004A4036">
        <w:rPr>
          <w:lang w:val="en-AU"/>
        </w:rPr>
        <w:t>-speaking communities</w:t>
      </w:r>
      <w:r w:rsidR="005C14D3" w:rsidRPr="00D03BB8">
        <w:rPr>
          <w:lang w:val="en-AU"/>
        </w:rPr>
        <w:t>.</w:t>
      </w:r>
      <w:r w:rsidR="004A4036">
        <w:rPr>
          <w:lang w:val="en-AU"/>
        </w:rPr>
        <w:t xml:space="preserve"> </w:t>
      </w:r>
      <w:r w:rsidR="005C14D3" w:rsidRPr="00D03BB8">
        <w:rPr>
          <w:lang w:val="en-AU"/>
        </w:rPr>
        <w:t xml:space="preserve"> </w:t>
      </w:r>
    </w:p>
    <w:p w14:paraId="3C2045EA" w14:textId="71690038" w:rsidR="002C3163" w:rsidRPr="00D03BB8" w:rsidRDefault="005C14D3" w:rsidP="00F70E05">
      <w:pPr>
        <w:pStyle w:val="VCAAbody"/>
      </w:pPr>
      <w:r w:rsidRPr="00D03BB8">
        <w:t xml:space="preserve">At the beginning of the examination students read their student number, introduced the subtopic </w:t>
      </w:r>
      <w:r w:rsidR="004A4036">
        <w:t xml:space="preserve">for </w:t>
      </w:r>
      <w:r w:rsidRPr="00D03BB8">
        <w:t>their discussion and presented their image. This was the initial introduction before proceeding with the first part of the examination, the conversation.</w:t>
      </w:r>
    </w:p>
    <w:p w14:paraId="29027E3E" w14:textId="23A98989" w:rsidR="00B62480" w:rsidRDefault="00024018" w:rsidP="00350651">
      <w:pPr>
        <w:pStyle w:val="VCAAHeading1"/>
      </w:pPr>
      <w:r>
        <w:t>Specific information</w:t>
      </w:r>
    </w:p>
    <w:p w14:paraId="2E9FC99C" w14:textId="27CC5F12" w:rsidR="000573CD" w:rsidRDefault="002B6F6B" w:rsidP="000573CD">
      <w:pPr>
        <w:pStyle w:val="VCAAHeading2"/>
      </w:pPr>
      <w:r w:rsidRPr="00480688">
        <w:t xml:space="preserve">Section 1 </w:t>
      </w:r>
      <w:r>
        <w:t>–</w:t>
      </w:r>
      <w:r w:rsidRPr="00480688">
        <w:t xml:space="preserve"> </w:t>
      </w:r>
      <w:r w:rsidR="00FD7DFC">
        <w:t>Conversation</w:t>
      </w:r>
    </w:p>
    <w:p w14:paraId="33A7C40B" w14:textId="0CCCCBDB" w:rsidR="00FD7DFC" w:rsidRDefault="00FD7DFC" w:rsidP="00FD7DFC">
      <w:pPr>
        <w:pStyle w:val="VCAAbody"/>
      </w:pPr>
      <w:r>
        <w:t xml:space="preserve">This section was a general conversation between the student and the two assessors about the student’s personal world and their interactions with the </w:t>
      </w:r>
      <w:r w:rsidRPr="00F70E05">
        <w:t>Spanish</w:t>
      </w:r>
      <w:r w:rsidRPr="00FD7DFC">
        <w:t xml:space="preserve"> language and culture as learners. Students were able to support their personal reflections by referring to any of the relevant subtopics studied in class from the prescribed theme</w:t>
      </w:r>
      <w:r w:rsidR="00DB6FF8">
        <w:t>s</w:t>
      </w:r>
      <w:r w:rsidRPr="00FD7DFC">
        <w:t xml:space="preserve"> ‘The individual’ and ‘The </w:t>
      </w:r>
      <w:r w:rsidRPr="00F70E05">
        <w:t>Spanish</w:t>
      </w:r>
      <w:r w:rsidRPr="00FD7DFC">
        <w:t>-speaking</w:t>
      </w:r>
      <w:r>
        <w:t xml:space="preserve"> communities’.</w:t>
      </w:r>
    </w:p>
    <w:p w14:paraId="46189EAB" w14:textId="77777777" w:rsidR="00FD7DFC" w:rsidRDefault="00FD7DFC" w:rsidP="00FD7DFC">
      <w:pPr>
        <w:pStyle w:val="VCAAbody"/>
      </w:pPr>
      <w:r>
        <w:t>Students who engaged in higher-scoring conversations:</w:t>
      </w:r>
    </w:p>
    <w:p w14:paraId="398BDEF3" w14:textId="77777777" w:rsidR="00FD7DFC" w:rsidRPr="00FD7DFC" w:rsidRDefault="00FD7DFC" w:rsidP="007473D5">
      <w:pPr>
        <w:pStyle w:val="VCAAbullet"/>
      </w:pPr>
      <w:r w:rsidRPr="00FD7DFC">
        <w:t>demonstrated an excellent level of understanding by responding readily and communicating confidently</w:t>
      </w:r>
    </w:p>
    <w:p w14:paraId="45F4E3BF" w14:textId="77777777" w:rsidR="00FD7DFC" w:rsidRPr="00FD7DFC" w:rsidRDefault="00FD7DFC" w:rsidP="007473D5">
      <w:pPr>
        <w:pStyle w:val="VCAAbullet"/>
      </w:pPr>
      <w:r w:rsidRPr="00FD7DFC">
        <w:t>carried the conversation forward with spontaneity</w:t>
      </w:r>
    </w:p>
    <w:p w14:paraId="5ED1FD90" w14:textId="77777777" w:rsidR="00FD7DFC" w:rsidRPr="00FD7DFC" w:rsidRDefault="00FD7DFC" w:rsidP="007473D5">
      <w:pPr>
        <w:pStyle w:val="VCAAbullet"/>
      </w:pPr>
      <w:r w:rsidRPr="00FD7DFC">
        <w:t>provided an excellent range of information, ideas and opinions clearly and logically with highly relevant responses</w:t>
      </w:r>
    </w:p>
    <w:p w14:paraId="38F95BB9" w14:textId="77777777" w:rsidR="00FD7DFC" w:rsidRPr="00FD7DFC" w:rsidRDefault="00FD7DFC" w:rsidP="007473D5">
      <w:pPr>
        <w:pStyle w:val="VCAAbullet"/>
      </w:pPr>
      <w:r w:rsidRPr="00FD7DFC">
        <w:t>clarified, elaborated on and defended information, ideas and opinions very effectively</w:t>
      </w:r>
    </w:p>
    <w:p w14:paraId="51409CF3" w14:textId="77777777" w:rsidR="00FD7DFC" w:rsidRPr="00FD7DFC" w:rsidRDefault="00FD7DFC" w:rsidP="007473D5">
      <w:pPr>
        <w:pStyle w:val="VCAAbullet"/>
      </w:pPr>
      <w:r w:rsidRPr="00FD7DFC">
        <w:t>used sophisticated vocabulary and structures accurately and appropriately</w:t>
      </w:r>
    </w:p>
    <w:p w14:paraId="36D200D4" w14:textId="77777777" w:rsidR="00FD7DFC" w:rsidRPr="00FD7DFC" w:rsidRDefault="00FD7DFC" w:rsidP="007473D5">
      <w:pPr>
        <w:pStyle w:val="VCAAbullet"/>
      </w:pPr>
      <w:r w:rsidRPr="00FD7DFC">
        <w:t>used language naturally</w:t>
      </w:r>
    </w:p>
    <w:p w14:paraId="5B256417" w14:textId="77777777" w:rsidR="00FD7DFC" w:rsidRPr="00FD7DFC" w:rsidRDefault="00FD7DFC" w:rsidP="007473D5">
      <w:pPr>
        <w:pStyle w:val="VCAAbullet"/>
      </w:pPr>
      <w:r w:rsidRPr="00FD7DFC">
        <w:t>used excellent pronunciation, intonation, stress and tempo.</w:t>
      </w:r>
    </w:p>
    <w:p w14:paraId="4C28E557" w14:textId="27B53EF1" w:rsidR="0091429A" w:rsidRDefault="000573CD" w:rsidP="00FD7DFC">
      <w:pPr>
        <w:pStyle w:val="VCAAbody"/>
      </w:pPr>
      <w:r w:rsidRPr="00D03BB8">
        <w:t xml:space="preserve">Students were asked questions about their personal world such as school life, </w:t>
      </w:r>
      <w:r w:rsidR="00C50480">
        <w:t>leisure</w:t>
      </w:r>
      <w:r w:rsidRPr="00D03BB8">
        <w:t xml:space="preserve"> activities, family, career plans, travelling and so on. </w:t>
      </w:r>
      <w:r w:rsidR="003F4A05">
        <w:t xml:space="preserve">Assessors </w:t>
      </w:r>
      <w:r w:rsidR="003F4A05" w:rsidRPr="00D03BB8">
        <w:t>ask</w:t>
      </w:r>
      <w:r w:rsidR="003F4A05">
        <w:t>ed</w:t>
      </w:r>
      <w:r w:rsidR="003F4A05" w:rsidRPr="00D03BB8">
        <w:t xml:space="preserve"> a variety of questions to allow students to demonstrate their ability to maintain a conversation in Spanish. Students were well prepared for this section of the </w:t>
      </w:r>
      <w:r w:rsidR="003F4A05" w:rsidRPr="00D03BB8">
        <w:lastRenderedPageBreak/>
        <w:t>examination and were able to adequately respond to the assessors’ questions</w:t>
      </w:r>
      <w:r w:rsidR="003F4A05">
        <w:t xml:space="preserve">. </w:t>
      </w:r>
      <w:r w:rsidRPr="00D03BB8">
        <w:t xml:space="preserve">The assessors linked these subtopics to the Spanish-speaking world </w:t>
      </w:r>
      <w:r w:rsidR="003F4A05">
        <w:t xml:space="preserve">by asking students </w:t>
      </w:r>
      <w:r w:rsidRPr="00D03BB8">
        <w:t xml:space="preserve">about their experiences as learners of the Spanish language and culture. </w:t>
      </w:r>
      <w:r w:rsidR="003F4A05">
        <w:t>S</w:t>
      </w:r>
      <w:r w:rsidRPr="00D03BB8">
        <w:t xml:space="preserve">tudents spoke about </w:t>
      </w:r>
      <w:r w:rsidR="003F4A05">
        <w:t xml:space="preserve">participating in </w:t>
      </w:r>
      <w:r w:rsidRPr="00D03BB8">
        <w:t>cultural activities such as festivals, family parties and so on. Students seemed to enjoy their experiences using their Spanish language skills, and engaging with Spanish and Latin American food, music, reading and art.</w:t>
      </w:r>
    </w:p>
    <w:p w14:paraId="377E4216" w14:textId="77777777" w:rsidR="00F70E05" w:rsidRDefault="00F70E05" w:rsidP="00F70E05">
      <w:pPr>
        <w:pStyle w:val="VCAAHeading3"/>
      </w:pPr>
      <w:r>
        <w:t>Content and communication</w:t>
      </w:r>
    </w:p>
    <w:p w14:paraId="7A6D01E0" w14:textId="1B10C206" w:rsidR="00A01528" w:rsidRDefault="00FE5E78" w:rsidP="00F17A4F">
      <w:pPr>
        <w:pStyle w:val="VCAAbody"/>
      </w:pPr>
      <w:r w:rsidRPr="00F70E05">
        <w:t xml:space="preserve">Students who </w:t>
      </w:r>
      <w:r w:rsidR="00CB5EBD">
        <w:t>scored highly</w:t>
      </w:r>
      <w:r w:rsidRPr="00F70E05">
        <w:t xml:space="preserve"> were able to carry the conversation with confidence and accuracy. Most students had the capacity to give </w:t>
      </w:r>
      <w:r w:rsidR="00FD7DFC">
        <w:t xml:space="preserve">an </w:t>
      </w:r>
      <w:r w:rsidRPr="00F70E05">
        <w:t xml:space="preserve">interesting </w:t>
      </w:r>
      <w:r w:rsidR="00FD7DFC">
        <w:t>ac</w:t>
      </w:r>
      <w:r w:rsidR="00FD7DFC" w:rsidRPr="00F70E05">
        <w:t xml:space="preserve">count </w:t>
      </w:r>
      <w:r w:rsidRPr="00F70E05">
        <w:t xml:space="preserve">of </w:t>
      </w:r>
      <w:r w:rsidR="00B930A1">
        <w:t xml:space="preserve">an </w:t>
      </w:r>
      <w:r w:rsidRPr="00F70E05">
        <w:t xml:space="preserve">experience in their lives with some </w:t>
      </w:r>
      <w:r w:rsidR="00FD7DFC" w:rsidRPr="00F70E05">
        <w:t>fla</w:t>
      </w:r>
      <w:r w:rsidR="00FD7DFC">
        <w:t>ir</w:t>
      </w:r>
      <w:r w:rsidR="00FD7DFC" w:rsidRPr="00F70E05">
        <w:t xml:space="preserve"> </w:t>
      </w:r>
      <w:r w:rsidRPr="00F70E05">
        <w:t>and</w:t>
      </w:r>
      <w:r w:rsidR="00B66F65" w:rsidRPr="00F70E05">
        <w:t xml:space="preserve"> broad vocabulary relevant to their topic.</w:t>
      </w:r>
      <w:r w:rsidR="00186A4F">
        <w:t xml:space="preserve"> </w:t>
      </w:r>
      <w:r w:rsidR="00A01528">
        <w:t xml:space="preserve">Students were able to make connection with their own experiences as learners of the Spanish language and culture. Some students spoke about their interactions with the Spanish-speaking community; others mentioned cultural activities such as festivals, dancing classes, singing groups, family parties and so on. </w:t>
      </w:r>
      <w:r w:rsidR="00186A4F" w:rsidRPr="00F70E05">
        <w:t xml:space="preserve">Students </w:t>
      </w:r>
      <w:r w:rsidR="00186A4F">
        <w:t>who scored highly</w:t>
      </w:r>
      <w:r w:rsidR="00186A4F" w:rsidRPr="00F70E05">
        <w:t xml:space="preserve"> were able to express interesting opinion</w:t>
      </w:r>
      <w:r w:rsidR="00186A4F">
        <w:t>s</w:t>
      </w:r>
      <w:r w:rsidR="00186A4F" w:rsidRPr="00F70E05">
        <w:t xml:space="preserve"> with supporting evidence and examples. They were also able to elaborate </w:t>
      </w:r>
      <w:r w:rsidR="00D62F6D">
        <w:t xml:space="preserve">on </w:t>
      </w:r>
      <w:r w:rsidR="00186A4F" w:rsidRPr="00F70E05">
        <w:t xml:space="preserve">their responses and ideas beyond the assessors’ questions. </w:t>
      </w:r>
      <w:r w:rsidR="00032C1B">
        <w:t>Many</w:t>
      </w:r>
      <w:r w:rsidR="00186A4F" w:rsidRPr="00F70E05">
        <w:t xml:space="preserve"> students </w:t>
      </w:r>
      <w:r w:rsidR="00573E9A" w:rsidRPr="00F70E05">
        <w:t>us</w:t>
      </w:r>
      <w:r w:rsidR="00573E9A">
        <w:t>ed</w:t>
      </w:r>
      <w:r w:rsidR="00573E9A" w:rsidRPr="00F70E05">
        <w:t xml:space="preserve"> </w:t>
      </w:r>
      <w:proofErr w:type="spellStart"/>
      <w:r w:rsidR="00186A4F" w:rsidRPr="00F70E05">
        <w:t>humo</w:t>
      </w:r>
      <w:r w:rsidR="00186A4F">
        <w:t>u</w:t>
      </w:r>
      <w:r w:rsidR="00186A4F" w:rsidRPr="00F70E05">
        <w:t>r</w:t>
      </w:r>
      <w:proofErr w:type="spellEnd"/>
      <w:r w:rsidR="00186A4F" w:rsidRPr="00F70E05">
        <w:t xml:space="preserve"> as a tool to make the conversation more entertaining and engaging.</w:t>
      </w:r>
      <w:r w:rsidR="00186A4F">
        <w:t xml:space="preserve"> They</w:t>
      </w:r>
      <w:r w:rsidR="00186A4F" w:rsidRPr="00F70E05">
        <w:t xml:space="preserve"> had </w:t>
      </w:r>
      <w:r w:rsidR="00FA023F">
        <w:t xml:space="preserve">effective </w:t>
      </w:r>
      <w:r w:rsidR="00186A4F" w:rsidRPr="00F70E05">
        <w:t xml:space="preserve">repair strategies and </w:t>
      </w:r>
      <w:r w:rsidR="00186A4F">
        <w:t xml:space="preserve">could </w:t>
      </w:r>
      <w:r w:rsidR="00186A4F" w:rsidRPr="00F70E05">
        <w:t>readily self-correct errors in their communicatio</w:t>
      </w:r>
      <w:r w:rsidR="00186A4F">
        <w:t>n.</w:t>
      </w:r>
    </w:p>
    <w:p w14:paraId="14DC93BF" w14:textId="154E5DB1" w:rsidR="00FE5E78" w:rsidRPr="00F70E05" w:rsidRDefault="00B66F65" w:rsidP="00F17A4F">
      <w:pPr>
        <w:pStyle w:val="VCAAbody"/>
      </w:pPr>
      <w:r w:rsidRPr="00F70E05">
        <w:t xml:space="preserve">Students who did not score well were unable to develop their responses beyond the factual and expressed very few </w:t>
      </w:r>
      <w:r w:rsidRPr="009904FF">
        <w:t>opinions</w:t>
      </w:r>
      <w:r w:rsidRPr="00F70E05">
        <w:t xml:space="preserve">. </w:t>
      </w:r>
    </w:p>
    <w:p w14:paraId="4BBC96C5" w14:textId="77777777" w:rsidR="00F70E05" w:rsidRDefault="00F70E05" w:rsidP="00F70E05">
      <w:pPr>
        <w:pStyle w:val="VCAAHeading3"/>
      </w:pPr>
      <w:r>
        <w:t>Language</w:t>
      </w:r>
    </w:p>
    <w:p w14:paraId="05AFBF8D" w14:textId="6CF015FA" w:rsidR="00186A4F" w:rsidRDefault="00186A4F" w:rsidP="00FD7DFC">
      <w:pPr>
        <w:pStyle w:val="VCAAbody"/>
      </w:pPr>
      <w:r w:rsidRPr="00F70E05">
        <w:t>Some students made a number of basic grammatical errors with verb tenses (present, future, past, subjunctive), adjectives and definite article</w:t>
      </w:r>
      <w:r w:rsidR="00EA703B">
        <w:t>–</w:t>
      </w:r>
      <w:r w:rsidRPr="00F70E05">
        <w:t>noun agreement.</w:t>
      </w:r>
    </w:p>
    <w:p w14:paraId="1DB13D02" w14:textId="597408FC" w:rsidR="00186A4F" w:rsidRPr="00F70E05" w:rsidRDefault="00186A4F" w:rsidP="00FD7DFC">
      <w:pPr>
        <w:pStyle w:val="VCAAbody"/>
      </w:pPr>
      <w:r>
        <w:t>Some students</w:t>
      </w:r>
      <w:r w:rsidRPr="00F70E05">
        <w:t xml:space="preserve"> did well in terms of clarity of expression, using appropriate intonation, accurate pronunciation, stress and tempo.</w:t>
      </w:r>
      <w:r>
        <w:t xml:space="preserve"> </w:t>
      </w:r>
    </w:p>
    <w:p w14:paraId="38C45F09" w14:textId="47744A91" w:rsidR="002B6F6B" w:rsidRPr="00480688" w:rsidRDefault="002B6F6B" w:rsidP="003A3AF4">
      <w:pPr>
        <w:pStyle w:val="VCAAHeading2"/>
        <w:rPr>
          <w:lang w:val="en-AU"/>
        </w:rPr>
      </w:pPr>
      <w:r w:rsidRPr="00480688">
        <w:rPr>
          <w:lang w:val="en-AU"/>
        </w:rPr>
        <w:t xml:space="preserve">Section 2 </w:t>
      </w:r>
      <w:r>
        <w:t>–</w:t>
      </w:r>
      <w:r w:rsidRPr="00480688">
        <w:rPr>
          <w:lang w:val="en-AU"/>
        </w:rPr>
        <w:t xml:space="preserve"> Discussion</w:t>
      </w:r>
    </w:p>
    <w:p w14:paraId="030C9D5E" w14:textId="736324B0" w:rsidR="00FD7DFC" w:rsidRDefault="00FD7DFC" w:rsidP="00FD7DFC">
      <w:pPr>
        <w:pStyle w:val="VCAAbody"/>
      </w:pPr>
      <w:r>
        <w:t>Student</w:t>
      </w:r>
      <w:r w:rsidR="00333418">
        <w:t>s</w:t>
      </w:r>
      <w:r>
        <w:t xml:space="preserve"> discussed their chosen subtopic and their supporting visual material, which had to be related to either the prescribed theme ‘The </w:t>
      </w:r>
      <w:r w:rsidRPr="00F70E05">
        <w:t>Spanish-</w:t>
      </w:r>
      <w:r>
        <w:t xml:space="preserve">speaking communities’ or the prescribed theme ‘The world around us’. The focus of the discussion was on exploring aspects of the subtopic, including information, opinions and ideas. Students were expected to respond to questions on their subtopic and supporting visual material. </w:t>
      </w:r>
    </w:p>
    <w:p w14:paraId="15FDE270" w14:textId="77777777" w:rsidR="00FD7DFC" w:rsidRDefault="00FD7DFC" w:rsidP="00FD7DFC">
      <w:pPr>
        <w:pStyle w:val="VCAAbody"/>
      </w:pPr>
      <w:r>
        <w:t>Students who engaged in higher-scoring discussions:</w:t>
      </w:r>
    </w:p>
    <w:p w14:paraId="47E49A83" w14:textId="77777777" w:rsidR="00FD7DFC" w:rsidRPr="00FD7DFC" w:rsidRDefault="00FD7DFC" w:rsidP="007473D5">
      <w:pPr>
        <w:pStyle w:val="VCAAbullet"/>
      </w:pPr>
      <w:r w:rsidRPr="00FD7DFC">
        <w:t>provided an excellent range and depth of information, ideas and opinions with an original perspective on the subtopic</w:t>
      </w:r>
    </w:p>
    <w:p w14:paraId="28086A6F" w14:textId="77777777" w:rsidR="00FD7DFC" w:rsidRPr="00FD7DFC" w:rsidRDefault="00FD7DFC" w:rsidP="007473D5">
      <w:pPr>
        <w:pStyle w:val="VCAAbullet"/>
      </w:pPr>
      <w:r w:rsidRPr="00FD7DFC">
        <w:t>elaborated on complex information and defended ideas and opinions clearly and logically with highly relevant responses</w:t>
      </w:r>
    </w:p>
    <w:p w14:paraId="65E7EBCE" w14:textId="77777777" w:rsidR="00FD7DFC" w:rsidRPr="00FD7DFC" w:rsidRDefault="00FD7DFC" w:rsidP="007473D5">
      <w:pPr>
        <w:pStyle w:val="VCAAbullet"/>
      </w:pPr>
      <w:r w:rsidRPr="00FD7DFC">
        <w:t>used the image skilfully to support the discussion on the subtopic</w:t>
      </w:r>
    </w:p>
    <w:p w14:paraId="0D4E229E" w14:textId="003AA873" w:rsidR="00FD7DFC" w:rsidRPr="00FD7DFC" w:rsidRDefault="00FD7DFC" w:rsidP="007473D5">
      <w:pPr>
        <w:pStyle w:val="VCAAbullet"/>
      </w:pPr>
      <w:r w:rsidRPr="00FD7DFC">
        <w:t>communicated information, ideas and opinions very confidently and carried the discussion forward with spontaneity</w:t>
      </w:r>
      <w:r>
        <w:t>.</w:t>
      </w:r>
    </w:p>
    <w:p w14:paraId="38AB2E29" w14:textId="77777777" w:rsidR="00F70E05" w:rsidRDefault="00F70E05" w:rsidP="00F70E05">
      <w:pPr>
        <w:pStyle w:val="VCAAHeading3"/>
      </w:pPr>
      <w:r>
        <w:t>Content and communication</w:t>
      </w:r>
    </w:p>
    <w:p w14:paraId="1B30A7E7" w14:textId="32C3B2B2" w:rsidR="000B241B" w:rsidRPr="00C0726B" w:rsidRDefault="0038610B" w:rsidP="00F70E05">
      <w:pPr>
        <w:pStyle w:val="VCAAbody"/>
        <w:rPr>
          <w:strike/>
        </w:rPr>
      </w:pPr>
      <w:r w:rsidRPr="0038610B">
        <w:t xml:space="preserve">It is important for students to state clearly what </w:t>
      </w:r>
      <w:r w:rsidR="00CC4310">
        <w:t xml:space="preserve">the focus of their </w:t>
      </w:r>
      <w:r w:rsidRPr="0038610B">
        <w:t xml:space="preserve">subtopic is so that the assessors are aware of what </w:t>
      </w:r>
      <w:r w:rsidR="00CC4310">
        <w:t xml:space="preserve">aspects of the subtopic </w:t>
      </w:r>
      <w:r w:rsidRPr="0038610B">
        <w:t xml:space="preserve">the student </w:t>
      </w:r>
      <w:r w:rsidR="00CC4310">
        <w:t>has explored.</w:t>
      </w:r>
    </w:p>
    <w:p w14:paraId="7EFF1760" w14:textId="0CC401CC" w:rsidR="000B241B" w:rsidRPr="000B241B" w:rsidRDefault="000B241B" w:rsidP="00F70E05">
      <w:pPr>
        <w:pStyle w:val="VCAAbody"/>
        <w:rPr>
          <w:lang w:val="en-AU"/>
        </w:rPr>
      </w:pPr>
      <w:r w:rsidRPr="000B241B">
        <w:t xml:space="preserve">The specifications require the student to explore aspects of the subtopic, including information, opinions and ideas. It is important to carefully consider the choice of subtopic and supporting image when preparing for </w:t>
      </w:r>
      <w:r w:rsidRPr="000B241B">
        <w:lastRenderedPageBreak/>
        <w:t>this section of the examination. Images that included rich information provided more opportunity for students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r w:rsidR="00CC4310">
        <w:t>.</w:t>
      </w:r>
    </w:p>
    <w:p w14:paraId="7C6CE644" w14:textId="63AC6FC1" w:rsidR="000B241B" w:rsidRDefault="00BC33FC" w:rsidP="00F70E05">
      <w:pPr>
        <w:pStyle w:val="VCAAbody"/>
      </w:pPr>
      <w:r w:rsidRPr="00245620">
        <w:t xml:space="preserve">The </w:t>
      </w:r>
      <w:r w:rsidR="00A972F8">
        <w:t>sub</w:t>
      </w:r>
      <w:r w:rsidRPr="00245620">
        <w:t xml:space="preserve">topics chosen for discussion </w:t>
      </w:r>
      <w:r w:rsidR="00BA3C97">
        <w:t>included</w:t>
      </w:r>
      <w:r w:rsidR="004A71E1">
        <w:t xml:space="preserve"> </w:t>
      </w:r>
      <w:r>
        <w:t>festival</w:t>
      </w:r>
      <w:r w:rsidR="000B241B">
        <w:t>s (ma</w:t>
      </w:r>
      <w:r w:rsidR="00333418">
        <w:t>i</w:t>
      </w:r>
      <w:r w:rsidR="000B241B">
        <w:t xml:space="preserve">nly </w:t>
      </w:r>
      <w:r w:rsidR="000B241B" w:rsidRPr="00F70E05">
        <w:rPr>
          <w:i/>
        </w:rPr>
        <w:t>La Tomatina</w:t>
      </w:r>
      <w:r w:rsidR="000B241B">
        <w:t>)</w:t>
      </w:r>
      <w:r w:rsidRPr="00245620">
        <w:t xml:space="preserve">, </w:t>
      </w:r>
      <w:r w:rsidR="000B241B">
        <w:t xml:space="preserve">culinary contributions of Hispanic </w:t>
      </w:r>
      <w:r w:rsidR="000B241B" w:rsidRPr="00333418">
        <w:t>migrants</w:t>
      </w:r>
      <w:r>
        <w:t>, the environment</w:t>
      </w:r>
      <w:r w:rsidR="000B241B">
        <w:t xml:space="preserve">, Marta’s plan </w:t>
      </w:r>
      <w:r w:rsidR="00333418">
        <w:t xml:space="preserve">and </w:t>
      </w:r>
      <w:r w:rsidR="004A71E1">
        <w:t>migrants’ experience</w:t>
      </w:r>
      <w:r w:rsidR="001668A2">
        <w:t>s</w:t>
      </w:r>
      <w:r w:rsidR="004A71E1">
        <w:t xml:space="preserve"> of </w:t>
      </w:r>
      <w:r w:rsidR="000B241B">
        <w:t>identity crisis</w:t>
      </w:r>
      <w:r w:rsidR="004A71E1">
        <w:t>.</w:t>
      </w:r>
    </w:p>
    <w:p w14:paraId="1C949DBE" w14:textId="69481F78" w:rsidR="004A71E1" w:rsidRDefault="0078044A" w:rsidP="00F70E05">
      <w:pPr>
        <w:pStyle w:val="VCAAbody"/>
      </w:pPr>
      <w:r>
        <w:t>S</w:t>
      </w:r>
      <w:r w:rsidR="004A71E1" w:rsidRPr="00245620">
        <w:t xml:space="preserve">tudents who scored </w:t>
      </w:r>
      <w:r w:rsidR="004A71E1">
        <w:t>highly</w:t>
      </w:r>
      <w:r w:rsidR="004A71E1" w:rsidRPr="00245620">
        <w:t xml:space="preserve"> were able to elaborate on the implications of the information presented with attention to a variety of themes and arguments within the parameters of their </w:t>
      </w:r>
      <w:r w:rsidR="00A972F8">
        <w:t>sub</w:t>
      </w:r>
      <w:r w:rsidR="004A71E1" w:rsidRPr="00245620">
        <w:t>topic. These students showed an ability to advance the conversation fluently and show greater discursive complexity, with appropriate use of the necessary register in this type of exam.</w:t>
      </w:r>
    </w:p>
    <w:p w14:paraId="72E9097E" w14:textId="1E3609A5" w:rsidR="0038610B" w:rsidRDefault="00BC33FC" w:rsidP="00F70E05">
      <w:pPr>
        <w:pStyle w:val="VCAAbody"/>
      </w:pPr>
      <w:r>
        <w:t>Student</w:t>
      </w:r>
      <w:r w:rsidR="00A91CC6">
        <w:t>s</w:t>
      </w:r>
      <w:r>
        <w:t xml:space="preserve"> who did not score well</w:t>
      </w:r>
      <w:r w:rsidRPr="00245620">
        <w:t xml:space="preserve"> </w:t>
      </w:r>
      <w:r w:rsidR="000B241B">
        <w:t xml:space="preserve">heavily relied </w:t>
      </w:r>
      <w:r w:rsidR="003F4D07">
        <w:t xml:space="preserve">on </w:t>
      </w:r>
      <w:r w:rsidR="000B241B">
        <w:t>the visual image and</w:t>
      </w:r>
      <w:r w:rsidRPr="00245620">
        <w:t xml:space="preserve"> treated</w:t>
      </w:r>
      <w:r w:rsidR="000B241B">
        <w:t xml:space="preserve"> the subtopic</w:t>
      </w:r>
      <w:r w:rsidRPr="00245620">
        <w:t xml:space="preserve"> in a superficial way</w:t>
      </w:r>
      <w:r w:rsidR="004A71E1">
        <w:t xml:space="preserve">. </w:t>
      </w:r>
      <w:r w:rsidR="00FA6E65">
        <w:t>Often,</w:t>
      </w:r>
      <w:r w:rsidR="004A71E1">
        <w:t xml:space="preserve"> they had insufficient information and ideas for the eight minutes specified for this section.</w:t>
      </w:r>
      <w:r w:rsidRPr="00245620">
        <w:t xml:space="preserve"> This caused reiterations and recurring errors, such as inappropriate use of linguistic registers, failure to agree on gender and number, confusion of verb tenses, little lexical variety, and the absence of the subjunctive mood and modal variety. </w:t>
      </w:r>
    </w:p>
    <w:p w14:paraId="6C4328BA" w14:textId="139E4A3A" w:rsidR="00F70E05" w:rsidRDefault="00F70E05" w:rsidP="00F70E05">
      <w:pPr>
        <w:pStyle w:val="VCAAHeading3"/>
      </w:pPr>
      <w:r>
        <w:t>Language</w:t>
      </w:r>
    </w:p>
    <w:p w14:paraId="3A925708" w14:textId="4CE149BB" w:rsidR="00EE199D" w:rsidRPr="00EE199D" w:rsidRDefault="00A91CC6" w:rsidP="007473D5">
      <w:pPr>
        <w:pStyle w:val="VCAAbullet"/>
      </w:pPr>
      <w:r>
        <w:t>S</w:t>
      </w:r>
      <w:r w:rsidR="00EE199D" w:rsidRPr="0096673B">
        <w:t xml:space="preserve">tudents who scored </w:t>
      </w:r>
      <w:r>
        <w:t>highly</w:t>
      </w:r>
      <w:r w:rsidRPr="0096673B">
        <w:t xml:space="preserve"> </w:t>
      </w:r>
      <w:r w:rsidR="00EE199D" w:rsidRPr="0096673B">
        <w:t xml:space="preserve">were able to elaborate on the implications of the information presented with attention to a variety of </w:t>
      </w:r>
      <w:r w:rsidR="00EE199D">
        <w:t>sentence structure</w:t>
      </w:r>
      <w:r w:rsidR="001E5331">
        <w:t>s</w:t>
      </w:r>
      <w:r w:rsidR="00EE199D">
        <w:t>, a level of sophistication in their vocabulary and clear intonation and pronunciation</w:t>
      </w:r>
      <w:r w:rsidR="00EE199D" w:rsidRPr="0096673B">
        <w:t xml:space="preserve">. These students showed an ability to advance the conversation </w:t>
      </w:r>
      <w:r w:rsidR="00EE199D" w:rsidRPr="00FA6E65">
        <w:t>fluently</w:t>
      </w:r>
      <w:r w:rsidR="00EE199D" w:rsidRPr="0096673B">
        <w:t xml:space="preserve"> and </w:t>
      </w:r>
      <w:r w:rsidR="001E5331">
        <w:t>demonstrated</w:t>
      </w:r>
      <w:r w:rsidR="001E5331" w:rsidRPr="0096673B">
        <w:t xml:space="preserve"> </w:t>
      </w:r>
      <w:r w:rsidR="00EE199D" w:rsidRPr="0096673B">
        <w:t xml:space="preserve">greater </w:t>
      </w:r>
      <w:r w:rsidR="001E5331">
        <w:t>linguistic</w:t>
      </w:r>
      <w:r w:rsidR="001E5331" w:rsidRPr="0096673B">
        <w:t xml:space="preserve"> </w:t>
      </w:r>
      <w:r w:rsidR="00EE199D" w:rsidRPr="0096673B">
        <w:t>complexity, with appropriate use of the necessary register in this type of exam</w:t>
      </w:r>
      <w:r w:rsidR="00EE199D">
        <w:t>.</w:t>
      </w:r>
    </w:p>
    <w:p w14:paraId="301CAEFC" w14:textId="0A386287" w:rsidR="0038610B" w:rsidRDefault="0038610B" w:rsidP="007473D5">
      <w:pPr>
        <w:pStyle w:val="VCAAbullet"/>
      </w:pPr>
      <w:r w:rsidRPr="003F4D07">
        <w:t xml:space="preserve">Most students were able to recognise when they had made a mistake and used appropriate repair strategies. Common speaking errors included: </w:t>
      </w:r>
      <w:r w:rsidRPr="000B241B">
        <w:rPr>
          <w:i/>
          <w:iCs/>
        </w:rPr>
        <w:t xml:space="preserve">la </w:t>
      </w:r>
      <w:proofErr w:type="spellStart"/>
      <w:r w:rsidRPr="000B241B">
        <w:rPr>
          <w:i/>
          <w:iCs/>
        </w:rPr>
        <w:t>tema</w:t>
      </w:r>
      <w:proofErr w:type="spellEnd"/>
      <w:r w:rsidRPr="000B241B">
        <w:rPr>
          <w:i/>
          <w:iCs/>
        </w:rPr>
        <w:t xml:space="preserve"> </w:t>
      </w:r>
      <w:r w:rsidRPr="000B241B">
        <w:t xml:space="preserve">instead of </w:t>
      </w:r>
      <w:proofErr w:type="spellStart"/>
      <w:r w:rsidRPr="000B241B">
        <w:rPr>
          <w:i/>
          <w:iCs/>
        </w:rPr>
        <w:t>el</w:t>
      </w:r>
      <w:proofErr w:type="spellEnd"/>
      <w:r w:rsidRPr="000B241B">
        <w:rPr>
          <w:i/>
          <w:iCs/>
        </w:rPr>
        <w:t xml:space="preserve"> </w:t>
      </w:r>
      <w:proofErr w:type="spellStart"/>
      <w:r w:rsidRPr="000B241B">
        <w:rPr>
          <w:i/>
          <w:iCs/>
        </w:rPr>
        <w:t>tema</w:t>
      </w:r>
      <w:proofErr w:type="spellEnd"/>
      <w:r w:rsidR="00FA6E65">
        <w:rPr>
          <w:i/>
          <w:iCs/>
        </w:rPr>
        <w:t xml:space="preserve"> </w:t>
      </w:r>
      <w:r w:rsidR="00FA6E65" w:rsidRPr="00F17A4F">
        <w:t>(the topic)</w:t>
      </w:r>
      <w:r w:rsidRPr="000D72D6">
        <w:t>,</w:t>
      </w:r>
      <w:r w:rsidRPr="000B241B">
        <w:t xml:space="preserve"> </w:t>
      </w:r>
      <w:r w:rsidR="00AC4159">
        <w:rPr>
          <w:i/>
          <w:iCs/>
        </w:rPr>
        <w:t xml:space="preserve">la </w:t>
      </w:r>
      <w:proofErr w:type="spellStart"/>
      <w:r w:rsidR="00AC4159">
        <w:rPr>
          <w:i/>
          <w:iCs/>
        </w:rPr>
        <w:t>problema</w:t>
      </w:r>
      <w:proofErr w:type="spellEnd"/>
      <w:r w:rsidRPr="000B241B">
        <w:rPr>
          <w:i/>
          <w:iCs/>
        </w:rPr>
        <w:t xml:space="preserve"> </w:t>
      </w:r>
      <w:r w:rsidRPr="000B241B">
        <w:t xml:space="preserve">instead of </w:t>
      </w:r>
      <w:proofErr w:type="spellStart"/>
      <w:r w:rsidR="00AC4159">
        <w:rPr>
          <w:i/>
          <w:iCs/>
        </w:rPr>
        <w:t>el</w:t>
      </w:r>
      <w:proofErr w:type="spellEnd"/>
      <w:r w:rsidR="00AC4159">
        <w:rPr>
          <w:i/>
          <w:iCs/>
        </w:rPr>
        <w:t xml:space="preserve"> </w:t>
      </w:r>
      <w:proofErr w:type="spellStart"/>
      <w:r w:rsidR="00AC4159">
        <w:rPr>
          <w:i/>
          <w:iCs/>
        </w:rPr>
        <w:t>problema</w:t>
      </w:r>
      <w:proofErr w:type="spellEnd"/>
      <w:r w:rsidRPr="000B241B">
        <w:rPr>
          <w:i/>
          <w:iCs/>
        </w:rPr>
        <w:t xml:space="preserve"> </w:t>
      </w:r>
      <w:r w:rsidRPr="000B241B">
        <w:t>(definite article</w:t>
      </w:r>
      <w:r w:rsidR="007473D5">
        <w:t>–</w:t>
      </w:r>
      <w:r w:rsidRPr="000B241B">
        <w:t>noun agreement</w:t>
      </w:r>
      <w:r w:rsidR="00FA6E65">
        <w:t>; the problem</w:t>
      </w:r>
      <w:r w:rsidRPr="000B241B">
        <w:t xml:space="preserve">) </w:t>
      </w:r>
    </w:p>
    <w:p w14:paraId="2FEE8F13" w14:textId="167A703E" w:rsidR="0038610B" w:rsidRPr="00EE199D" w:rsidRDefault="0038610B" w:rsidP="007473D5">
      <w:pPr>
        <w:pStyle w:val="VCAAbullet"/>
      </w:pPr>
      <w:r w:rsidRPr="00F70E05">
        <w:t>incorrect use of vocabular</w:t>
      </w:r>
      <w:r w:rsidR="000B241B" w:rsidRPr="00F70E05">
        <w:t>y</w:t>
      </w:r>
      <w:r w:rsidR="003F4D07">
        <w:t>,</w:t>
      </w:r>
      <w:r w:rsidRPr="00F70E05">
        <w:t xml:space="preserve"> for example:</w:t>
      </w:r>
      <w:r w:rsidRPr="000B241B">
        <w:rPr>
          <w:i/>
        </w:rPr>
        <w:t xml:space="preserve"> </w:t>
      </w:r>
      <w:proofErr w:type="spellStart"/>
      <w:r w:rsidRPr="000B241B">
        <w:rPr>
          <w:i/>
        </w:rPr>
        <w:t>en</w:t>
      </w:r>
      <w:proofErr w:type="spellEnd"/>
      <w:r w:rsidRPr="000B241B">
        <w:rPr>
          <w:i/>
        </w:rPr>
        <w:t xml:space="preserve"> </w:t>
      </w:r>
      <w:proofErr w:type="spellStart"/>
      <w:r w:rsidRPr="000B241B">
        <w:rPr>
          <w:i/>
        </w:rPr>
        <w:t>genero</w:t>
      </w:r>
      <w:proofErr w:type="spellEnd"/>
      <w:r w:rsidRPr="000B241B">
        <w:rPr>
          <w:i/>
        </w:rPr>
        <w:t xml:space="preserve"> </w:t>
      </w:r>
      <w:r w:rsidRPr="00F70E05">
        <w:t>instead of</w:t>
      </w:r>
      <w:r w:rsidRPr="000B241B">
        <w:rPr>
          <w:i/>
        </w:rPr>
        <w:t xml:space="preserve"> </w:t>
      </w:r>
      <w:proofErr w:type="spellStart"/>
      <w:r w:rsidRPr="000B241B">
        <w:rPr>
          <w:i/>
        </w:rPr>
        <w:t>en</w:t>
      </w:r>
      <w:proofErr w:type="spellEnd"/>
      <w:r w:rsidRPr="000B241B">
        <w:rPr>
          <w:i/>
        </w:rPr>
        <w:t xml:space="preserve"> general</w:t>
      </w:r>
      <w:r w:rsidR="00FA6E65">
        <w:rPr>
          <w:i/>
        </w:rPr>
        <w:t xml:space="preserve"> (</w:t>
      </w:r>
      <w:r w:rsidR="00FA6E65" w:rsidRPr="00FA6E65">
        <w:rPr>
          <w:iCs/>
        </w:rPr>
        <w:t>in general)</w:t>
      </w:r>
    </w:p>
    <w:p w14:paraId="16E8DBD8" w14:textId="11AB5275" w:rsidR="0038610B" w:rsidRPr="000B241B" w:rsidRDefault="0038610B" w:rsidP="007473D5">
      <w:pPr>
        <w:pStyle w:val="VCAAbullet"/>
      </w:pPr>
      <w:r w:rsidRPr="000B241B">
        <w:t xml:space="preserve">incorrect use of </w:t>
      </w:r>
      <w:r w:rsidRPr="000B241B">
        <w:rPr>
          <w:i/>
          <w:iCs/>
        </w:rPr>
        <w:t xml:space="preserve">ser y </w:t>
      </w:r>
      <w:proofErr w:type="spellStart"/>
      <w:r w:rsidRPr="000B241B">
        <w:rPr>
          <w:i/>
          <w:iCs/>
        </w:rPr>
        <w:t>estar</w:t>
      </w:r>
      <w:proofErr w:type="spellEnd"/>
      <w:r w:rsidR="00FA6E65">
        <w:rPr>
          <w:i/>
          <w:iCs/>
        </w:rPr>
        <w:t xml:space="preserve"> </w:t>
      </w:r>
      <w:r w:rsidR="00FA6E65" w:rsidRPr="00FA6E65">
        <w:t>(to be)</w:t>
      </w:r>
      <w:r w:rsidR="00333418" w:rsidRPr="00FA6E65">
        <w:t>,</w:t>
      </w:r>
      <w:r w:rsidR="00333418">
        <w:t xml:space="preserve"> for example, </w:t>
      </w:r>
      <w:proofErr w:type="spellStart"/>
      <w:r w:rsidRPr="000B241B">
        <w:rPr>
          <w:i/>
          <w:iCs/>
        </w:rPr>
        <w:t>estoy</w:t>
      </w:r>
      <w:proofErr w:type="spellEnd"/>
      <w:r w:rsidRPr="000B241B">
        <w:rPr>
          <w:i/>
          <w:iCs/>
        </w:rPr>
        <w:t xml:space="preserve"> </w:t>
      </w:r>
      <w:proofErr w:type="spellStart"/>
      <w:r w:rsidRPr="000B241B">
        <w:rPr>
          <w:i/>
          <w:iCs/>
        </w:rPr>
        <w:t>divertido</w:t>
      </w:r>
      <w:proofErr w:type="spellEnd"/>
      <w:r w:rsidRPr="000B241B">
        <w:rPr>
          <w:i/>
          <w:iCs/>
        </w:rPr>
        <w:t xml:space="preserve"> </w:t>
      </w:r>
      <w:r w:rsidRPr="000B241B">
        <w:t xml:space="preserve">instead of </w:t>
      </w:r>
      <w:r w:rsidRPr="000B241B">
        <w:rPr>
          <w:i/>
          <w:iCs/>
        </w:rPr>
        <w:t xml:space="preserve">soy </w:t>
      </w:r>
      <w:proofErr w:type="spellStart"/>
      <w:r w:rsidRPr="000B241B">
        <w:rPr>
          <w:i/>
          <w:iCs/>
        </w:rPr>
        <w:t>divertido</w:t>
      </w:r>
      <w:proofErr w:type="spellEnd"/>
      <w:r w:rsidR="00FA6E65">
        <w:rPr>
          <w:i/>
          <w:iCs/>
        </w:rPr>
        <w:t xml:space="preserve"> </w:t>
      </w:r>
      <w:r w:rsidR="00FA6E65" w:rsidRPr="00FA6E65">
        <w:t>(I’m funny)</w:t>
      </w:r>
      <w:r w:rsidR="00333418" w:rsidRPr="00FA6E65">
        <w:t>.</w:t>
      </w:r>
    </w:p>
    <w:p w14:paraId="05EC1056" w14:textId="77777777" w:rsidR="00FD7DFC" w:rsidRDefault="00FD7DFC" w:rsidP="00FD7DFC">
      <w:pPr>
        <w:pStyle w:val="VCAAHeading1"/>
      </w:pPr>
      <w:r>
        <w:t>More information</w:t>
      </w:r>
    </w:p>
    <w:p w14:paraId="5305532D" w14:textId="2D8A2D9C" w:rsidR="0080599F" w:rsidRPr="00A972F8" w:rsidRDefault="00FD7DFC" w:rsidP="00EF626A">
      <w:pPr>
        <w:pStyle w:val="VCAAbody"/>
      </w:pPr>
      <w:r>
        <w:t>Refer to</w:t>
      </w:r>
      <w:r w:rsidR="007473D5">
        <w:t xml:space="preserve"> the</w:t>
      </w:r>
      <w:r w:rsidR="003F4D07">
        <w:t xml:space="preserve"> </w:t>
      </w:r>
      <w:hyperlink r:id="rId8" w:history="1">
        <w:r w:rsidR="003F4D07" w:rsidRPr="00F70E05">
          <w:rPr>
            <w:rStyle w:val="Hyperlink"/>
          </w:rPr>
          <w:t xml:space="preserve">VCE Spanish </w:t>
        </w:r>
        <w:r w:rsidR="00F70E05" w:rsidRPr="00F70E05">
          <w:rPr>
            <w:rStyle w:val="Hyperlink"/>
          </w:rPr>
          <w:t>s</w:t>
        </w:r>
        <w:r w:rsidR="003F4D07" w:rsidRPr="00F70E05">
          <w:rPr>
            <w:rStyle w:val="Hyperlink"/>
          </w:rPr>
          <w:t xml:space="preserve">tudy </w:t>
        </w:r>
        <w:r w:rsidR="00F70E05" w:rsidRPr="00F70E05">
          <w:rPr>
            <w:rStyle w:val="Hyperlink"/>
          </w:rPr>
          <w:t>d</w:t>
        </w:r>
        <w:r w:rsidR="003F4D07" w:rsidRPr="00F70E05">
          <w:rPr>
            <w:rStyle w:val="Hyperlink"/>
          </w:rPr>
          <w:t>esign</w:t>
        </w:r>
      </w:hyperlink>
      <w:r w:rsidR="003F4D07">
        <w:t xml:space="preserve"> </w:t>
      </w:r>
      <w:r>
        <w:t xml:space="preserve">and </w:t>
      </w:r>
      <w:hyperlink r:id="rId9" w:history="1">
        <w:r>
          <w:rPr>
            <w:rStyle w:val="Hyperlink"/>
          </w:rPr>
          <w:t>examination criteria and specifications</w:t>
        </w:r>
      </w:hyperlink>
      <w:r>
        <w:t xml:space="preserve"> for full details on this study and how it is assessed.</w:t>
      </w:r>
    </w:p>
    <w:sectPr w:rsidR="0080599F" w:rsidRPr="00A972F8" w:rsidSect="00B230D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0B241B" w:rsidRDefault="000B241B" w:rsidP="00304EA1">
      <w:pPr>
        <w:spacing w:after="0" w:line="240" w:lineRule="auto"/>
      </w:pPr>
      <w:r>
        <w:separator/>
      </w:r>
    </w:p>
  </w:endnote>
  <w:endnote w:type="continuationSeparator" w:id="0">
    <w:p w14:paraId="6C2FE3E4" w14:textId="77777777" w:rsidR="000B241B" w:rsidRDefault="000B241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FFE0" w14:textId="77777777" w:rsidR="00A319FF" w:rsidRDefault="00A3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B241B" w:rsidRPr="00D06414" w14:paraId="00D3EC34" w14:textId="77777777" w:rsidTr="00BB3BAB">
      <w:trPr>
        <w:trHeight w:val="476"/>
      </w:trPr>
      <w:tc>
        <w:tcPr>
          <w:tcW w:w="1667" w:type="pct"/>
          <w:tcMar>
            <w:left w:w="0" w:type="dxa"/>
            <w:right w:w="0" w:type="dxa"/>
          </w:tcMar>
        </w:tcPr>
        <w:p w14:paraId="4F062E5B" w14:textId="77777777" w:rsidR="000B241B" w:rsidRPr="00D06414" w:rsidRDefault="000B241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B241B" w:rsidRPr="00D06414" w:rsidRDefault="000B241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0B241B" w:rsidRPr="00D06414" w:rsidRDefault="000B241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0B241B" w:rsidRPr="00D06414" w:rsidRDefault="000B24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B241B" w:rsidRPr="00D06414" w14:paraId="28670396" w14:textId="77777777" w:rsidTr="000F5AAF">
      <w:tc>
        <w:tcPr>
          <w:tcW w:w="1459" w:type="pct"/>
          <w:tcMar>
            <w:left w:w="0" w:type="dxa"/>
            <w:right w:w="0" w:type="dxa"/>
          </w:tcMar>
        </w:tcPr>
        <w:p w14:paraId="0BBE30B4" w14:textId="77777777" w:rsidR="000B241B" w:rsidRPr="00D06414" w:rsidRDefault="000B241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B241B" w:rsidRPr="00D06414" w:rsidRDefault="000B241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B241B" w:rsidRPr="00D06414" w:rsidRDefault="000B241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B241B" w:rsidRPr="00D06414" w:rsidRDefault="000B241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0B241B" w:rsidRDefault="000B241B" w:rsidP="00304EA1">
      <w:pPr>
        <w:spacing w:after="0" w:line="240" w:lineRule="auto"/>
      </w:pPr>
      <w:r>
        <w:separator/>
      </w:r>
    </w:p>
  </w:footnote>
  <w:footnote w:type="continuationSeparator" w:id="0">
    <w:p w14:paraId="600CFD58" w14:textId="77777777" w:rsidR="000B241B" w:rsidRDefault="000B241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0687" w14:textId="77777777" w:rsidR="00A319FF" w:rsidRDefault="00A3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748E937" w:rsidR="000B241B" w:rsidRPr="00D86DE4" w:rsidRDefault="00F70E05" w:rsidP="00D86DE4">
    <w:pPr>
      <w:pStyle w:val="VCAAcaptionsandfootnotes"/>
      <w:rPr>
        <w:color w:val="999999" w:themeColor="accent2"/>
      </w:rPr>
    </w:pPr>
    <w:r>
      <w:t>2022 VCE Spanish oral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B241B" w:rsidRPr="009370BC" w:rsidRDefault="000B241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7F0111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B6D51"/>
    <w:multiLevelType w:val="hybridMultilevel"/>
    <w:tmpl w:val="E82C994E"/>
    <w:lvl w:ilvl="0" w:tplc="EB9077EE">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8E263A"/>
    <w:multiLevelType w:val="hybridMultilevel"/>
    <w:tmpl w:val="7AC8D682"/>
    <w:lvl w:ilvl="0" w:tplc="0FBAB67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7"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0527B0"/>
    <w:multiLevelType w:val="hybridMultilevel"/>
    <w:tmpl w:val="A53687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9D86E9E"/>
    <w:multiLevelType w:val="hybridMultilevel"/>
    <w:tmpl w:val="0178D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78FA6C"/>
    <w:multiLevelType w:val="hybridMultilevel"/>
    <w:tmpl w:val="B25498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936E677A"/>
    <w:lvl w:ilvl="0" w:tplc="507E4DD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59203067">
    <w:abstractNumId w:val="18"/>
  </w:num>
  <w:num w:numId="2" w16cid:durableId="875854682">
    <w:abstractNumId w:val="14"/>
  </w:num>
  <w:num w:numId="3" w16cid:durableId="1310936035">
    <w:abstractNumId w:val="10"/>
  </w:num>
  <w:num w:numId="4" w16cid:durableId="301154707">
    <w:abstractNumId w:val="4"/>
  </w:num>
  <w:num w:numId="5" w16cid:durableId="754088622">
    <w:abstractNumId w:val="17"/>
  </w:num>
  <w:num w:numId="6" w16cid:durableId="1040670283">
    <w:abstractNumId w:val="6"/>
  </w:num>
  <w:num w:numId="7" w16cid:durableId="1910731613">
    <w:abstractNumId w:val="12"/>
  </w:num>
  <w:num w:numId="8" w16cid:durableId="1365908297">
    <w:abstractNumId w:val="0"/>
  </w:num>
  <w:num w:numId="9" w16cid:durableId="1695231878">
    <w:abstractNumId w:val="13"/>
  </w:num>
  <w:num w:numId="10" w16cid:durableId="2003047825">
    <w:abstractNumId w:val="1"/>
  </w:num>
  <w:num w:numId="11" w16cid:durableId="465588729">
    <w:abstractNumId w:val="7"/>
  </w:num>
  <w:num w:numId="12" w16cid:durableId="1092748074">
    <w:abstractNumId w:val="11"/>
  </w:num>
  <w:num w:numId="13" w16cid:durableId="1172646212">
    <w:abstractNumId w:val="9"/>
  </w:num>
  <w:num w:numId="14" w16cid:durableId="1754232673">
    <w:abstractNumId w:val="18"/>
  </w:num>
  <w:num w:numId="15" w16cid:durableId="933904427">
    <w:abstractNumId w:val="14"/>
  </w:num>
  <w:num w:numId="16" w16cid:durableId="50004940">
    <w:abstractNumId w:val="10"/>
  </w:num>
  <w:num w:numId="17" w16cid:durableId="109128484">
    <w:abstractNumId w:val="4"/>
  </w:num>
  <w:num w:numId="18" w16cid:durableId="41560236">
    <w:abstractNumId w:val="17"/>
  </w:num>
  <w:num w:numId="19" w16cid:durableId="1594892576">
    <w:abstractNumId w:val="16"/>
  </w:num>
  <w:num w:numId="20" w16cid:durableId="538712621">
    <w:abstractNumId w:val="8"/>
  </w:num>
  <w:num w:numId="21" w16cid:durableId="1408379579">
    <w:abstractNumId w:val="15"/>
  </w:num>
  <w:num w:numId="22" w16cid:durableId="1780176149">
    <w:abstractNumId w:val="5"/>
  </w:num>
  <w:num w:numId="23" w16cid:durableId="2057316008">
    <w:abstractNumId w:val="3"/>
  </w:num>
  <w:num w:numId="24" w16cid:durableId="1257785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16A9"/>
    <w:rsid w:val="00032C1B"/>
    <w:rsid w:val="000573CD"/>
    <w:rsid w:val="0005780E"/>
    <w:rsid w:val="00065CC6"/>
    <w:rsid w:val="00081E8F"/>
    <w:rsid w:val="00090D46"/>
    <w:rsid w:val="000A71F7"/>
    <w:rsid w:val="000B0F25"/>
    <w:rsid w:val="000B241B"/>
    <w:rsid w:val="000D72D6"/>
    <w:rsid w:val="000E5C7B"/>
    <w:rsid w:val="000F09E4"/>
    <w:rsid w:val="000F16FD"/>
    <w:rsid w:val="000F23E2"/>
    <w:rsid w:val="000F5AAF"/>
    <w:rsid w:val="00120DB9"/>
    <w:rsid w:val="00135D2C"/>
    <w:rsid w:val="00143520"/>
    <w:rsid w:val="001449E8"/>
    <w:rsid w:val="00153AD2"/>
    <w:rsid w:val="001668A2"/>
    <w:rsid w:val="001779EA"/>
    <w:rsid w:val="00182027"/>
    <w:rsid w:val="00184297"/>
    <w:rsid w:val="00186A4F"/>
    <w:rsid w:val="001A7454"/>
    <w:rsid w:val="001B328C"/>
    <w:rsid w:val="001C3EEA"/>
    <w:rsid w:val="001D3246"/>
    <w:rsid w:val="001E5331"/>
    <w:rsid w:val="002279BA"/>
    <w:rsid w:val="002329F3"/>
    <w:rsid w:val="00243F0D"/>
    <w:rsid w:val="00260767"/>
    <w:rsid w:val="002647BB"/>
    <w:rsid w:val="002754C1"/>
    <w:rsid w:val="002841C8"/>
    <w:rsid w:val="0028516B"/>
    <w:rsid w:val="002B6F6B"/>
    <w:rsid w:val="002B7629"/>
    <w:rsid w:val="002C3163"/>
    <w:rsid w:val="002C6F03"/>
    <w:rsid w:val="002C6F90"/>
    <w:rsid w:val="002E4FB5"/>
    <w:rsid w:val="00302FB8"/>
    <w:rsid w:val="0030488B"/>
    <w:rsid w:val="00304EA1"/>
    <w:rsid w:val="00314D81"/>
    <w:rsid w:val="00317946"/>
    <w:rsid w:val="00322FC6"/>
    <w:rsid w:val="00333418"/>
    <w:rsid w:val="00337198"/>
    <w:rsid w:val="00350651"/>
    <w:rsid w:val="0035293F"/>
    <w:rsid w:val="00360DA9"/>
    <w:rsid w:val="0037313F"/>
    <w:rsid w:val="00385147"/>
    <w:rsid w:val="0038610B"/>
    <w:rsid w:val="00391986"/>
    <w:rsid w:val="003A00B4"/>
    <w:rsid w:val="003A3AF4"/>
    <w:rsid w:val="003B2257"/>
    <w:rsid w:val="003C5E71"/>
    <w:rsid w:val="003C6C6D"/>
    <w:rsid w:val="003D6CBD"/>
    <w:rsid w:val="003F224E"/>
    <w:rsid w:val="003F4A05"/>
    <w:rsid w:val="003F4D07"/>
    <w:rsid w:val="00400537"/>
    <w:rsid w:val="00405A8A"/>
    <w:rsid w:val="00414FB2"/>
    <w:rsid w:val="00417AA3"/>
    <w:rsid w:val="00425DFE"/>
    <w:rsid w:val="00434EDB"/>
    <w:rsid w:val="00440B32"/>
    <w:rsid w:val="0044213C"/>
    <w:rsid w:val="0046078D"/>
    <w:rsid w:val="004730B8"/>
    <w:rsid w:val="00477F3B"/>
    <w:rsid w:val="00495C80"/>
    <w:rsid w:val="004A1026"/>
    <w:rsid w:val="004A2ED8"/>
    <w:rsid w:val="004A4036"/>
    <w:rsid w:val="004A71E1"/>
    <w:rsid w:val="004F5BDA"/>
    <w:rsid w:val="005052D6"/>
    <w:rsid w:val="0051631E"/>
    <w:rsid w:val="00530FC6"/>
    <w:rsid w:val="005377B1"/>
    <w:rsid w:val="00537A1F"/>
    <w:rsid w:val="00541F95"/>
    <w:rsid w:val="005570CF"/>
    <w:rsid w:val="00566029"/>
    <w:rsid w:val="00573E9A"/>
    <w:rsid w:val="00585F32"/>
    <w:rsid w:val="005923CB"/>
    <w:rsid w:val="005B391B"/>
    <w:rsid w:val="005B3D80"/>
    <w:rsid w:val="005C14D3"/>
    <w:rsid w:val="005D2F1A"/>
    <w:rsid w:val="005D3D78"/>
    <w:rsid w:val="005E2EF0"/>
    <w:rsid w:val="005F1F42"/>
    <w:rsid w:val="005F4092"/>
    <w:rsid w:val="006663C6"/>
    <w:rsid w:val="00675298"/>
    <w:rsid w:val="0068471E"/>
    <w:rsid w:val="00684F98"/>
    <w:rsid w:val="00693FFD"/>
    <w:rsid w:val="006C1B7E"/>
    <w:rsid w:val="006D2159"/>
    <w:rsid w:val="006F164F"/>
    <w:rsid w:val="006F787C"/>
    <w:rsid w:val="00702636"/>
    <w:rsid w:val="00724507"/>
    <w:rsid w:val="00747109"/>
    <w:rsid w:val="007473D5"/>
    <w:rsid w:val="00773E6C"/>
    <w:rsid w:val="0078044A"/>
    <w:rsid w:val="00781FB1"/>
    <w:rsid w:val="007918BB"/>
    <w:rsid w:val="007A4B91"/>
    <w:rsid w:val="007C600D"/>
    <w:rsid w:val="007C75C0"/>
    <w:rsid w:val="007D1B6D"/>
    <w:rsid w:val="0080599F"/>
    <w:rsid w:val="00813C37"/>
    <w:rsid w:val="008154B5"/>
    <w:rsid w:val="00823962"/>
    <w:rsid w:val="008428B1"/>
    <w:rsid w:val="00850410"/>
    <w:rsid w:val="00852719"/>
    <w:rsid w:val="00860115"/>
    <w:rsid w:val="008604A1"/>
    <w:rsid w:val="00862E13"/>
    <w:rsid w:val="0088783C"/>
    <w:rsid w:val="008D3953"/>
    <w:rsid w:val="0091429A"/>
    <w:rsid w:val="009370BC"/>
    <w:rsid w:val="00965633"/>
    <w:rsid w:val="00970580"/>
    <w:rsid w:val="0098739B"/>
    <w:rsid w:val="009904FF"/>
    <w:rsid w:val="009906B5"/>
    <w:rsid w:val="0099688F"/>
    <w:rsid w:val="009B61E5"/>
    <w:rsid w:val="009B7F24"/>
    <w:rsid w:val="009D0E9E"/>
    <w:rsid w:val="009D1E89"/>
    <w:rsid w:val="009D73FA"/>
    <w:rsid w:val="009E5707"/>
    <w:rsid w:val="00A01528"/>
    <w:rsid w:val="00A17661"/>
    <w:rsid w:val="00A24B2D"/>
    <w:rsid w:val="00A319FF"/>
    <w:rsid w:val="00A40966"/>
    <w:rsid w:val="00A729E7"/>
    <w:rsid w:val="00A91CC6"/>
    <w:rsid w:val="00A921E0"/>
    <w:rsid w:val="00A922F4"/>
    <w:rsid w:val="00A972F8"/>
    <w:rsid w:val="00AB5EE9"/>
    <w:rsid w:val="00AC4159"/>
    <w:rsid w:val="00AD1876"/>
    <w:rsid w:val="00AE5526"/>
    <w:rsid w:val="00AF051B"/>
    <w:rsid w:val="00AF52F1"/>
    <w:rsid w:val="00B0086A"/>
    <w:rsid w:val="00B01578"/>
    <w:rsid w:val="00B0738F"/>
    <w:rsid w:val="00B13D3B"/>
    <w:rsid w:val="00B230DB"/>
    <w:rsid w:val="00B26601"/>
    <w:rsid w:val="00B41951"/>
    <w:rsid w:val="00B53229"/>
    <w:rsid w:val="00B53C13"/>
    <w:rsid w:val="00B62480"/>
    <w:rsid w:val="00B66F65"/>
    <w:rsid w:val="00B717F4"/>
    <w:rsid w:val="00B81B70"/>
    <w:rsid w:val="00B930A1"/>
    <w:rsid w:val="00BA08FB"/>
    <w:rsid w:val="00BA3C97"/>
    <w:rsid w:val="00BB3BAB"/>
    <w:rsid w:val="00BC33FC"/>
    <w:rsid w:val="00BD0724"/>
    <w:rsid w:val="00BD1DF3"/>
    <w:rsid w:val="00BD2B91"/>
    <w:rsid w:val="00BE5521"/>
    <w:rsid w:val="00BF0BBA"/>
    <w:rsid w:val="00BF6C23"/>
    <w:rsid w:val="00C0726B"/>
    <w:rsid w:val="00C14996"/>
    <w:rsid w:val="00C35203"/>
    <w:rsid w:val="00C50480"/>
    <w:rsid w:val="00C53263"/>
    <w:rsid w:val="00C70DAF"/>
    <w:rsid w:val="00C75F1D"/>
    <w:rsid w:val="00C95156"/>
    <w:rsid w:val="00CA0DC2"/>
    <w:rsid w:val="00CB363E"/>
    <w:rsid w:val="00CB49E5"/>
    <w:rsid w:val="00CB5EBD"/>
    <w:rsid w:val="00CB5FBC"/>
    <w:rsid w:val="00CB68E8"/>
    <w:rsid w:val="00CC4310"/>
    <w:rsid w:val="00CC5BE5"/>
    <w:rsid w:val="00D03BB8"/>
    <w:rsid w:val="00D04F01"/>
    <w:rsid w:val="00D06414"/>
    <w:rsid w:val="00D10AA4"/>
    <w:rsid w:val="00D20ED9"/>
    <w:rsid w:val="00D24E5A"/>
    <w:rsid w:val="00D25427"/>
    <w:rsid w:val="00D338E4"/>
    <w:rsid w:val="00D372BC"/>
    <w:rsid w:val="00D51947"/>
    <w:rsid w:val="00D532F0"/>
    <w:rsid w:val="00D56E0F"/>
    <w:rsid w:val="00D62F6D"/>
    <w:rsid w:val="00D77413"/>
    <w:rsid w:val="00D82759"/>
    <w:rsid w:val="00D86DE4"/>
    <w:rsid w:val="00DB6FF8"/>
    <w:rsid w:val="00DD276D"/>
    <w:rsid w:val="00DE1909"/>
    <w:rsid w:val="00DE51DB"/>
    <w:rsid w:val="00DF4A82"/>
    <w:rsid w:val="00DF4CCC"/>
    <w:rsid w:val="00E013CF"/>
    <w:rsid w:val="00E23F1D"/>
    <w:rsid w:val="00E30E05"/>
    <w:rsid w:val="00E35622"/>
    <w:rsid w:val="00E36361"/>
    <w:rsid w:val="00E55AE9"/>
    <w:rsid w:val="00E6619E"/>
    <w:rsid w:val="00E75C57"/>
    <w:rsid w:val="00EA703B"/>
    <w:rsid w:val="00EB0C84"/>
    <w:rsid w:val="00EC3A08"/>
    <w:rsid w:val="00EE199D"/>
    <w:rsid w:val="00EF4188"/>
    <w:rsid w:val="00EF626A"/>
    <w:rsid w:val="00F17A4F"/>
    <w:rsid w:val="00F17FDE"/>
    <w:rsid w:val="00F34CE3"/>
    <w:rsid w:val="00F40D53"/>
    <w:rsid w:val="00F444AE"/>
    <w:rsid w:val="00F4525C"/>
    <w:rsid w:val="00F50D86"/>
    <w:rsid w:val="00F66739"/>
    <w:rsid w:val="00F70E05"/>
    <w:rsid w:val="00FA023F"/>
    <w:rsid w:val="00FA6E65"/>
    <w:rsid w:val="00FD29D3"/>
    <w:rsid w:val="00FD7DFC"/>
    <w:rsid w:val="00FE3F0B"/>
    <w:rsid w:val="00FE5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1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7473D5"/>
    <w:pPr>
      <w:widowControl w:val="0"/>
      <w:numPr>
        <w:numId w:val="24"/>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paragraph" w:customStyle="1" w:styleId="Default">
    <w:name w:val="Default"/>
    <w:rsid w:val="000573CD"/>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F7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spanish/Pages/Index.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vcaa.vic.edu.au/assessment/vce-assessment/past-examinations/Pages/Spanish.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568F571-A9D2-4780-BF73-0CD5B07EFD2D}">
  <ds:schemaRefs>
    <ds:schemaRef ds:uri="http://schemas.openxmlformats.org/officeDocument/2006/bibliography"/>
  </ds:schemaRefs>
</ds:datastoreItem>
</file>

<file path=customXml/itemProps2.xml><?xml version="1.0" encoding="utf-8"?>
<ds:datastoreItem xmlns:ds="http://schemas.openxmlformats.org/officeDocument/2006/customXml" ds:itemID="{2F9851E6-8E0B-4AB4-89F1-423E7FD78D15}"/>
</file>

<file path=customXml/itemProps3.xml><?xml version="1.0" encoding="utf-8"?>
<ds:datastoreItem xmlns:ds="http://schemas.openxmlformats.org/officeDocument/2006/customXml" ds:itemID="{8D6AD3A8-7E79-4E0B-AE78-7D09B8F86AEE}"/>
</file>

<file path=customXml/itemProps4.xml><?xml version="1.0" encoding="utf-8"?>
<ds:datastoreItem xmlns:ds="http://schemas.openxmlformats.org/officeDocument/2006/customXml" ds:itemID="{FF90DDEA-DDC1-4561-BBBE-D07448959D96}"/>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Spanish oral external assessment report</dc:title>
  <dc:creator/>
  <cp:lastModifiedBy/>
  <cp:revision>1</cp:revision>
  <dcterms:created xsi:type="dcterms:W3CDTF">2023-03-31T23:40:00Z</dcterms:created>
  <dcterms:modified xsi:type="dcterms:W3CDTF">2023-04-12T12:57:00Z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