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BE14" w14:textId="63ED1F5A" w:rsidR="00477B9C" w:rsidRDefault="00477B9C" w:rsidP="005061BF">
      <w:pPr>
        <w:pStyle w:val="VCAAHeading4"/>
      </w:pPr>
      <w:r>
        <w:t>Special Examination Arrangements Part One - Policy Overview</w:t>
      </w:r>
    </w:p>
    <w:p w14:paraId="34B014E3" w14:textId="77777777" w:rsidR="00477B9C" w:rsidRDefault="00477B9C" w:rsidP="00477B9C">
      <w:pPr>
        <w:pStyle w:val="VCAAHeading4"/>
      </w:pPr>
      <w:r w:rsidRPr="00EF49AD">
        <w:t>Welcome</w:t>
      </w:r>
    </w:p>
    <w:p w14:paraId="621E2A65" w14:textId="77777777" w:rsidR="00477B9C" w:rsidRPr="0033500A" w:rsidRDefault="00477B9C" w:rsidP="00477B9C">
      <w:r w:rsidRPr="0033500A">
        <w:t>This video will cover:</w:t>
      </w:r>
    </w:p>
    <w:p w14:paraId="3A4D4E0B" w14:textId="77777777" w:rsidR="00477B9C" w:rsidRPr="00B42A63" w:rsidRDefault="00477B9C" w:rsidP="00477B9C">
      <w:pPr>
        <w:numPr>
          <w:ilvl w:val="1"/>
          <w:numId w:val="6"/>
        </w:numPr>
        <w:spacing w:before="0" w:after="160" w:line="259" w:lineRule="auto"/>
      </w:pPr>
      <w:r w:rsidRPr="00B42A63">
        <w:t>What is ‘Special Provision’?</w:t>
      </w:r>
    </w:p>
    <w:p w14:paraId="42B7BE4F" w14:textId="77777777" w:rsidR="00477B9C" w:rsidRPr="00B42A63" w:rsidRDefault="00477B9C" w:rsidP="00477B9C">
      <w:pPr>
        <w:numPr>
          <w:ilvl w:val="1"/>
          <w:numId w:val="6"/>
        </w:numPr>
        <w:spacing w:before="0" w:after="160" w:line="259" w:lineRule="auto"/>
      </w:pPr>
      <w:r w:rsidRPr="00B42A63">
        <w:t>What are ‘Special Examination Arrangements’?</w:t>
      </w:r>
    </w:p>
    <w:p w14:paraId="1E0CAD06" w14:textId="77777777" w:rsidR="00477B9C" w:rsidRPr="00B42A63" w:rsidRDefault="00477B9C" w:rsidP="00477B9C">
      <w:pPr>
        <w:numPr>
          <w:ilvl w:val="1"/>
          <w:numId w:val="6"/>
        </w:numPr>
        <w:spacing w:before="0" w:after="160" w:line="259" w:lineRule="auto"/>
      </w:pPr>
      <w:r w:rsidRPr="00B42A63">
        <w:t>When are they appropriate?</w:t>
      </w:r>
    </w:p>
    <w:p w14:paraId="67568E3A" w14:textId="77777777" w:rsidR="00477B9C" w:rsidRPr="00B42A63" w:rsidRDefault="00477B9C" w:rsidP="00477B9C">
      <w:pPr>
        <w:numPr>
          <w:ilvl w:val="1"/>
          <w:numId w:val="6"/>
        </w:numPr>
        <w:spacing w:before="0" w:after="160" w:line="259" w:lineRule="auto"/>
      </w:pPr>
      <w:r w:rsidRPr="00B42A63">
        <w:t>What conditions do they apply to?</w:t>
      </w:r>
    </w:p>
    <w:p w14:paraId="7E9B391C" w14:textId="77777777" w:rsidR="00477B9C" w:rsidRPr="00B42A63" w:rsidRDefault="00477B9C" w:rsidP="00477B9C">
      <w:pPr>
        <w:numPr>
          <w:ilvl w:val="1"/>
          <w:numId w:val="6"/>
        </w:numPr>
        <w:spacing w:before="0" w:after="160" w:line="259" w:lineRule="auto"/>
      </w:pPr>
      <w:r w:rsidRPr="00B42A63">
        <w:t xml:space="preserve">What types of Special Examination Arrangements are there? </w:t>
      </w:r>
    </w:p>
    <w:p w14:paraId="23EAD28C" w14:textId="77777777" w:rsidR="00477B9C" w:rsidRPr="00B42A63" w:rsidRDefault="00477B9C" w:rsidP="00477B9C">
      <w:pPr>
        <w:numPr>
          <w:ilvl w:val="1"/>
          <w:numId w:val="6"/>
        </w:numPr>
        <w:spacing w:before="0" w:after="160" w:line="259" w:lineRule="auto"/>
      </w:pPr>
      <w:r w:rsidRPr="00B42A63">
        <w:t>What are the school’s responsibilities?</w:t>
      </w:r>
    </w:p>
    <w:p w14:paraId="029C0394" w14:textId="77777777" w:rsidR="00477B9C" w:rsidRPr="00980D63" w:rsidRDefault="00477B9C" w:rsidP="00477B9C">
      <w:pPr>
        <w:pStyle w:val="VCAAHeading4"/>
        <w:rPr>
          <w:i/>
          <w:color w:val="FF0000"/>
        </w:rPr>
      </w:pPr>
      <w:r>
        <w:t>Special Provision</w:t>
      </w:r>
    </w:p>
    <w:p w14:paraId="3641F984" w14:textId="77777777" w:rsidR="00477B9C" w:rsidRPr="00C178B8" w:rsidRDefault="00477B9C" w:rsidP="00477B9C">
      <w:r w:rsidRPr="00C178B8">
        <w:t xml:space="preserve">The underlying principle of the VCAA Special Provision Policy is to ensure that </w:t>
      </w:r>
      <w:r w:rsidRPr="00C178B8">
        <w:rPr>
          <w:bCs/>
        </w:rPr>
        <w:t>appropriate</w:t>
      </w:r>
      <w:r w:rsidRPr="00C178B8">
        <w:t xml:space="preserve">, </w:t>
      </w:r>
      <w:proofErr w:type="gramStart"/>
      <w:r w:rsidRPr="00C178B8">
        <w:rPr>
          <w:bCs/>
        </w:rPr>
        <w:t>fair</w:t>
      </w:r>
      <w:proofErr w:type="gramEnd"/>
      <w:r w:rsidRPr="00C178B8">
        <w:t xml:space="preserve"> and </w:t>
      </w:r>
      <w:r w:rsidRPr="00C178B8">
        <w:rPr>
          <w:bCs/>
        </w:rPr>
        <w:t>reasonable</w:t>
      </w:r>
      <w:r w:rsidRPr="00C178B8">
        <w:t xml:space="preserve"> options are available for students to </w:t>
      </w:r>
      <w:r w:rsidRPr="00C178B8">
        <w:rPr>
          <w:bCs/>
        </w:rPr>
        <w:t xml:space="preserve">demonstrate their capabilities </w:t>
      </w:r>
      <w:r w:rsidRPr="00C178B8">
        <w:t xml:space="preserve">if their learning program and/or assessment is affected by </w:t>
      </w:r>
      <w:r w:rsidRPr="00C178B8">
        <w:rPr>
          <w:bCs/>
        </w:rPr>
        <w:t>disability</w:t>
      </w:r>
      <w:r w:rsidRPr="00C178B8">
        <w:t xml:space="preserve">, </w:t>
      </w:r>
      <w:r w:rsidRPr="00C178B8">
        <w:rPr>
          <w:bCs/>
        </w:rPr>
        <w:t>illness</w:t>
      </w:r>
      <w:r w:rsidRPr="00C178B8">
        <w:t xml:space="preserve">, </w:t>
      </w:r>
      <w:r w:rsidRPr="00C178B8">
        <w:rPr>
          <w:bCs/>
        </w:rPr>
        <w:t>impairment</w:t>
      </w:r>
      <w:r w:rsidRPr="00C178B8">
        <w:t xml:space="preserve"> or other circumstances. </w:t>
      </w:r>
    </w:p>
    <w:p w14:paraId="1C0E1200" w14:textId="77777777" w:rsidR="00477B9C" w:rsidRPr="00CB4660" w:rsidRDefault="00477B9C" w:rsidP="00477B9C">
      <w:pPr>
        <w:pStyle w:val="ListParagraph"/>
        <w:numPr>
          <w:ilvl w:val="0"/>
          <w:numId w:val="7"/>
        </w:numPr>
        <w:rPr>
          <w:rFonts w:ascii="Arial" w:hAnsi="Arial" w:cs="Arial"/>
          <w:i/>
          <w:sz w:val="24"/>
          <w:szCs w:val="24"/>
        </w:rPr>
      </w:pPr>
      <w:r w:rsidRPr="00CB4660">
        <w:rPr>
          <w:rFonts w:ascii="Arial" w:hAnsi="Arial" w:cs="Arial"/>
          <w:i/>
          <w:sz w:val="24"/>
          <w:szCs w:val="24"/>
        </w:rPr>
        <w:t>Special provision can enable impacted students to participate fully in learning activities.</w:t>
      </w:r>
    </w:p>
    <w:p w14:paraId="62D55AB2" w14:textId="77777777" w:rsidR="00477B9C" w:rsidRPr="00CB4660" w:rsidRDefault="00477B9C" w:rsidP="00477B9C">
      <w:pPr>
        <w:pStyle w:val="ListParagraph"/>
        <w:numPr>
          <w:ilvl w:val="0"/>
          <w:numId w:val="7"/>
        </w:numPr>
        <w:rPr>
          <w:rFonts w:ascii="Arial" w:hAnsi="Arial" w:cs="Arial"/>
          <w:i/>
          <w:sz w:val="24"/>
          <w:szCs w:val="24"/>
        </w:rPr>
      </w:pPr>
      <w:r w:rsidRPr="00CB4660">
        <w:rPr>
          <w:rFonts w:ascii="Arial" w:hAnsi="Arial" w:cs="Arial"/>
          <w:i/>
          <w:sz w:val="24"/>
          <w:szCs w:val="24"/>
        </w:rPr>
        <w:t>And remove barriers to a student’s ability to show assessors what they know and can do.</w:t>
      </w:r>
    </w:p>
    <w:p w14:paraId="2E05508E" w14:textId="77777777" w:rsidR="00477B9C" w:rsidRPr="00C178B8" w:rsidRDefault="00477B9C" w:rsidP="00477B9C">
      <w:r w:rsidRPr="00C178B8">
        <w:t xml:space="preserve">Special Provision should provide </w:t>
      </w:r>
      <w:r w:rsidRPr="00C178B8">
        <w:rPr>
          <w:bCs/>
        </w:rPr>
        <w:t>equivalent</w:t>
      </w:r>
      <w:r w:rsidRPr="00C178B8">
        <w:t xml:space="preserve">, </w:t>
      </w:r>
      <w:r w:rsidRPr="00C178B8">
        <w:rPr>
          <w:bCs/>
        </w:rPr>
        <w:t>alternative</w:t>
      </w:r>
      <w:r w:rsidRPr="00C178B8">
        <w:t xml:space="preserve"> </w:t>
      </w:r>
      <w:r w:rsidRPr="00C178B8">
        <w:rPr>
          <w:bCs/>
        </w:rPr>
        <w:t>arrangements</w:t>
      </w:r>
      <w:r w:rsidRPr="00C178B8">
        <w:t xml:space="preserve"> for students, but </w:t>
      </w:r>
      <w:r w:rsidRPr="00C178B8">
        <w:rPr>
          <w:bCs/>
        </w:rPr>
        <w:t xml:space="preserve">not confer an advantage </w:t>
      </w:r>
      <w:r w:rsidRPr="00C178B8">
        <w:t>to any student over other students.</w:t>
      </w:r>
    </w:p>
    <w:p w14:paraId="1CF03506" w14:textId="77777777" w:rsidR="00477B9C" w:rsidRPr="00CB4660" w:rsidRDefault="00477B9C" w:rsidP="00477B9C">
      <w:pPr>
        <w:pStyle w:val="ListParagraph"/>
        <w:numPr>
          <w:ilvl w:val="0"/>
          <w:numId w:val="7"/>
        </w:numPr>
        <w:rPr>
          <w:rFonts w:ascii="Arial" w:hAnsi="Arial" w:cs="Arial"/>
          <w:i/>
          <w:sz w:val="24"/>
          <w:szCs w:val="24"/>
        </w:rPr>
      </w:pPr>
      <w:r w:rsidRPr="00CB4660">
        <w:rPr>
          <w:rFonts w:ascii="Arial" w:hAnsi="Arial" w:cs="Arial"/>
          <w:i/>
          <w:sz w:val="24"/>
          <w:szCs w:val="24"/>
        </w:rPr>
        <w:t>Special Provision does not provide an advantage.</w:t>
      </w:r>
    </w:p>
    <w:p w14:paraId="462EEE10" w14:textId="77777777" w:rsidR="00477B9C" w:rsidRPr="00CB4660" w:rsidRDefault="00477B9C" w:rsidP="00477B9C">
      <w:pPr>
        <w:pStyle w:val="ListParagraph"/>
        <w:numPr>
          <w:ilvl w:val="0"/>
          <w:numId w:val="7"/>
        </w:numPr>
        <w:rPr>
          <w:rFonts w:ascii="Arial" w:hAnsi="Arial" w:cs="Arial"/>
          <w:sz w:val="24"/>
          <w:szCs w:val="24"/>
        </w:rPr>
      </w:pPr>
      <w:r w:rsidRPr="00CB4660">
        <w:rPr>
          <w:rFonts w:ascii="Arial" w:hAnsi="Arial" w:cs="Arial"/>
          <w:i/>
          <w:sz w:val="24"/>
          <w:szCs w:val="24"/>
        </w:rPr>
        <w:t>And it is not about compensating for learning that has not taken place</w:t>
      </w:r>
      <w:r w:rsidRPr="00CB4660">
        <w:rPr>
          <w:rFonts w:ascii="Arial" w:hAnsi="Arial" w:cs="Arial"/>
          <w:sz w:val="24"/>
          <w:szCs w:val="24"/>
        </w:rPr>
        <w:t>.</w:t>
      </w:r>
    </w:p>
    <w:p w14:paraId="116FAF36" w14:textId="77777777" w:rsidR="00477B9C" w:rsidRPr="00C178B8" w:rsidRDefault="00477B9C" w:rsidP="00477B9C"/>
    <w:p w14:paraId="04A16477" w14:textId="77777777" w:rsidR="00477B9C" w:rsidRPr="00C178B8" w:rsidRDefault="00477B9C" w:rsidP="00477B9C">
      <w:pPr>
        <w:pStyle w:val="VCAAHeading4"/>
      </w:pPr>
      <w:r w:rsidRPr="00C178B8">
        <w:t>Special Provision</w:t>
      </w:r>
    </w:p>
    <w:p w14:paraId="3E97E566" w14:textId="77777777" w:rsidR="00477B9C" w:rsidRPr="00707A07" w:rsidRDefault="00477B9C" w:rsidP="00477B9C">
      <w:r w:rsidRPr="00826FFD">
        <w:t xml:space="preserve">Special Provision </w:t>
      </w:r>
      <w:r>
        <w:t>can be school based or for VCE external assessments</w:t>
      </w:r>
    </w:p>
    <w:p w14:paraId="64484E6C" w14:textId="77777777" w:rsidR="00477B9C" w:rsidRPr="00707A07" w:rsidRDefault="00477B9C" w:rsidP="00477B9C">
      <w:r>
        <w:t>School</w:t>
      </w:r>
      <w:r w:rsidRPr="00707A07">
        <w:t xml:space="preserve">s are responsible for determining eligibility and the nature of the provisions for classroom learning and </w:t>
      </w:r>
      <w:proofErr w:type="gramStart"/>
      <w:r w:rsidRPr="00707A07">
        <w:t>school based</w:t>
      </w:r>
      <w:proofErr w:type="gramEnd"/>
      <w:r w:rsidRPr="00707A07">
        <w:t xml:space="preserve"> assessments. </w:t>
      </w:r>
    </w:p>
    <w:p w14:paraId="44F5734E" w14:textId="77777777" w:rsidR="00477B9C" w:rsidRPr="00707A07" w:rsidRDefault="00477B9C" w:rsidP="00477B9C">
      <w:pPr>
        <w:numPr>
          <w:ilvl w:val="0"/>
          <w:numId w:val="4"/>
        </w:numPr>
        <w:spacing w:before="0" w:after="160" w:line="259" w:lineRule="auto"/>
      </w:pPr>
      <w:r w:rsidRPr="00707A07">
        <w:t xml:space="preserve">For students with chronic conditions, </w:t>
      </w:r>
      <w:r>
        <w:t xml:space="preserve">schools are </w:t>
      </w:r>
      <w:r w:rsidRPr="00707A07">
        <w:t>encourage</w:t>
      </w:r>
      <w:r>
        <w:t>d</w:t>
      </w:r>
      <w:r w:rsidRPr="00707A07">
        <w:t xml:space="preserve"> </w:t>
      </w:r>
      <w:r>
        <w:t>to a</w:t>
      </w:r>
      <w:r w:rsidRPr="00707A07">
        <w:t xml:space="preserve">lign </w:t>
      </w:r>
      <w:r>
        <w:t>their</w:t>
      </w:r>
      <w:r w:rsidRPr="00707A07">
        <w:t xml:space="preserve"> internal practi</w:t>
      </w:r>
      <w:r>
        <w:t>c</w:t>
      </w:r>
      <w:r w:rsidRPr="00707A07">
        <w:t>e with what is likely to be approved at VCE level.</w:t>
      </w:r>
    </w:p>
    <w:p w14:paraId="17554AA9" w14:textId="77777777" w:rsidR="00477B9C" w:rsidRDefault="00477B9C" w:rsidP="00477B9C">
      <w:pPr>
        <w:numPr>
          <w:ilvl w:val="0"/>
          <w:numId w:val="4"/>
        </w:numPr>
        <w:spacing w:before="0" w:after="160" w:line="259" w:lineRule="auto"/>
      </w:pPr>
      <w:r w:rsidRPr="00707A07">
        <w:lastRenderedPageBreak/>
        <w:t xml:space="preserve">For students from year 7, </w:t>
      </w:r>
      <w:r>
        <w:t>the VCAA has an</w:t>
      </w:r>
      <w:r w:rsidRPr="00707A07">
        <w:t xml:space="preserve"> early engagement </w:t>
      </w:r>
      <w:proofErr w:type="gramStart"/>
      <w:r w:rsidRPr="00707A07">
        <w:t>process  –</w:t>
      </w:r>
      <w:proofErr w:type="gramEnd"/>
      <w:r w:rsidRPr="00707A07">
        <w:t xml:space="preserve"> and </w:t>
      </w:r>
      <w:r>
        <w:t xml:space="preserve">schools are encouraged to contact the Special Provision team if they are unsure </w:t>
      </w:r>
      <w:r w:rsidRPr="00707A07">
        <w:t xml:space="preserve">if what </w:t>
      </w:r>
      <w:r>
        <w:t xml:space="preserve">if what is being put in </w:t>
      </w:r>
      <w:r w:rsidRPr="00707A07">
        <w:t xml:space="preserve">place </w:t>
      </w:r>
      <w:r>
        <w:t xml:space="preserve">at the school level </w:t>
      </w:r>
      <w:r w:rsidRPr="00707A07">
        <w:t>is in line with VCAA policies.</w:t>
      </w:r>
    </w:p>
    <w:p w14:paraId="3E1DE845" w14:textId="77777777" w:rsidR="00477B9C" w:rsidRDefault="00477B9C" w:rsidP="00477B9C">
      <w:pPr>
        <w:numPr>
          <w:ilvl w:val="0"/>
          <w:numId w:val="4"/>
        </w:numPr>
        <w:spacing w:before="0" w:after="160" w:line="259" w:lineRule="auto"/>
      </w:pPr>
      <w:r>
        <w:t xml:space="preserve">Schools should regularly review </w:t>
      </w:r>
      <w:proofErr w:type="gramStart"/>
      <w:r>
        <w:t>school based</w:t>
      </w:r>
      <w:proofErr w:type="gramEnd"/>
      <w:r>
        <w:t xml:space="preserve"> provision to ensure they still meet the needs of the student – a student who requires rest breaks one year may not require this same provision the following year. </w:t>
      </w:r>
    </w:p>
    <w:p w14:paraId="1C6485B8" w14:textId="77777777" w:rsidR="00477B9C" w:rsidRPr="00707A07" w:rsidRDefault="00477B9C" w:rsidP="00477B9C">
      <w:pPr>
        <w:numPr>
          <w:ilvl w:val="0"/>
          <w:numId w:val="4"/>
        </w:numPr>
        <w:spacing w:before="0" w:after="160" w:line="259" w:lineRule="auto"/>
      </w:pPr>
      <w:r>
        <w:t>Special Provisions for Unit 3-4 external assessments must be approved by the VCAA and includes:</w:t>
      </w:r>
    </w:p>
    <w:p w14:paraId="576AB7D6" w14:textId="77777777" w:rsidR="00477B9C" w:rsidRPr="00707A07" w:rsidRDefault="00477B9C" w:rsidP="00477B9C">
      <w:pPr>
        <w:numPr>
          <w:ilvl w:val="0"/>
          <w:numId w:val="4"/>
        </w:numPr>
        <w:spacing w:before="0" w:after="160" w:line="259" w:lineRule="auto"/>
      </w:pPr>
      <w:r w:rsidRPr="00707A07">
        <w:t>Special Examination Arrangements; and</w:t>
      </w:r>
    </w:p>
    <w:p w14:paraId="341B7E56" w14:textId="77777777" w:rsidR="00477B9C" w:rsidRPr="00826FFD" w:rsidRDefault="00477B9C" w:rsidP="00477B9C">
      <w:pPr>
        <w:numPr>
          <w:ilvl w:val="0"/>
          <w:numId w:val="4"/>
        </w:numPr>
        <w:spacing w:before="0" w:after="160" w:line="259" w:lineRule="auto"/>
      </w:pPr>
      <w:r w:rsidRPr="00707A07">
        <w:t>Derived Examination Scores</w:t>
      </w:r>
    </w:p>
    <w:p w14:paraId="1DCA6ACF" w14:textId="77777777" w:rsidR="00477B9C" w:rsidRPr="00C178B8" w:rsidRDefault="00477B9C" w:rsidP="00477B9C">
      <w:pPr>
        <w:pStyle w:val="VCAAHeading4"/>
      </w:pPr>
      <w:r w:rsidRPr="00C178B8">
        <w:t>Special Examination Arrangements</w:t>
      </w:r>
    </w:p>
    <w:p w14:paraId="79703833" w14:textId="77777777" w:rsidR="00477B9C" w:rsidRDefault="00477B9C" w:rsidP="00477B9C">
      <w:pPr>
        <w:numPr>
          <w:ilvl w:val="0"/>
          <w:numId w:val="1"/>
        </w:numPr>
        <w:spacing w:before="0" w:after="160" w:line="259" w:lineRule="auto"/>
      </w:pPr>
      <w:r w:rsidRPr="00A53189">
        <w:t xml:space="preserve">Special Examination Arrangements are reasonable adjustments made to the format, or </w:t>
      </w:r>
      <w:r>
        <w:t>procedure, of a VCE examination</w:t>
      </w:r>
      <w:r w:rsidRPr="00A53189">
        <w:t xml:space="preserve">. </w:t>
      </w:r>
    </w:p>
    <w:p w14:paraId="6128F4C9" w14:textId="77777777" w:rsidR="00477B9C" w:rsidRPr="00A53189" w:rsidRDefault="00477B9C" w:rsidP="00477B9C">
      <w:pPr>
        <w:numPr>
          <w:ilvl w:val="0"/>
          <w:numId w:val="1"/>
        </w:numPr>
        <w:spacing w:before="0" w:after="160" w:line="259" w:lineRule="auto"/>
      </w:pPr>
      <w:r>
        <w:t>S</w:t>
      </w:r>
      <w:r w:rsidRPr="00A53189">
        <w:t>tudents with a disability</w:t>
      </w:r>
      <w:r>
        <w:t xml:space="preserve"> or </w:t>
      </w:r>
      <w:r w:rsidRPr="00A53189">
        <w:t xml:space="preserve">illness, may require Special Examination Arrangements to enable them to access </w:t>
      </w:r>
      <w:r>
        <w:t>examination questions or to communicate their responses</w:t>
      </w:r>
      <w:r w:rsidRPr="00A53189">
        <w:t>.</w:t>
      </w:r>
    </w:p>
    <w:p w14:paraId="7B43B163" w14:textId="77777777" w:rsidR="00477B9C" w:rsidRPr="00A53189" w:rsidRDefault="00477B9C" w:rsidP="00477B9C">
      <w:pPr>
        <w:numPr>
          <w:ilvl w:val="0"/>
          <w:numId w:val="1"/>
        </w:numPr>
        <w:spacing w:before="0" w:after="160" w:line="259" w:lineRule="auto"/>
      </w:pPr>
      <w:r>
        <w:t xml:space="preserve">Special Examination Arrangements remove barriers to the student’s ability to show the assessors what they know and can do, they do not give students an advantage. </w:t>
      </w:r>
    </w:p>
    <w:p w14:paraId="6EF91228" w14:textId="77777777" w:rsidR="00477B9C" w:rsidRDefault="00477B9C" w:rsidP="00477B9C">
      <w:pPr>
        <w:numPr>
          <w:ilvl w:val="0"/>
          <w:numId w:val="1"/>
        </w:numPr>
        <w:spacing w:before="0" w:after="160" w:line="259" w:lineRule="auto"/>
      </w:pPr>
      <w:r w:rsidRPr="00A53189">
        <w:t>The same academic standards and assessment criteria still apply</w:t>
      </w:r>
      <w:r>
        <w:t>.</w:t>
      </w:r>
    </w:p>
    <w:p w14:paraId="643A77A6" w14:textId="77777777" w:rsidR="00477B9C" w:rsidRDefault="00477B9C" w:rsidP="00477B9C">
      <w:pPr>
        <w:numPr>
          <w:ilvl w:val="0"/>
          <w:numId w:val="1"/>
        </w:numPr>
        <w:spacing w:before="0" w:after="160" w:line="259" w:lineRule="auto"/>
      </w:pPr>
      <w:r>
        <w:t>E</w:t>
      </w:r>
      <w:r w:rsidRPr="00A53189">
        <w:t xml:space="preserve">xaminations completed using Special Examination Arrangements are marked the same as any other examination. </w:t>
      </w:r>
    </w:p>
    <w:p w14:paraId="320D0388" w14:textId="77777777" w:rsidR="00477B9C" w:rsidRPr="00A53189" w:rsidRDefault="00477B9C" w:rsidP="00477B9C">
      <w:pPr>
        <w:numPr>
          <w:ilvl w:val="0"/>
          <w:numId w:val="1"/>
        </w:numPr>
        <w:spacing w:before="0" w:after="160" w:line="259" w:lineRule="auto"/>
      </w:pPr>
      <w:r w:rsidRPr="00A53189">
        <w:t xml:space="preserve">Special Examination Arrangements cannot be granted where they will directly </w:t>
      </w:r>
      <w:r>
        <w:t>impact the</w:t>
      </w:r>
      <w:r w:rsidRPr="00A53189">
        <w:t xml:space="preserve"> </w:t>
      </w:r>
      <w:r>
        <w:t>ability</w:t>
      </w:r>
      <w:r w:rsidRPr="00A53189">
        <w:t xml:space="preserve"> of </w:t>
      </w:r>
      <w:r>
        <w:t xml:space="preserve">students to demonstrate </w:t>
      </w:r>
      <w:r w:rsidRPr="00A53189">
        <w:t xml:space="preserve">the skills </w:t>
      </w:r>
      <w:r>
        <w:t>or knowledge that is the focus of the assessment.</w:t>
      </w:r>
    </w:p>
    <w:p w14:paraId="384D4549" w14:textId="77777777" w:rsidR="00477B9C" w:rsidRPr="00A53189" w:rsidRDefault="00477B9C" w:rsidP="00477B9C">
      <w:pPr>
        <w:numPr>
          <w:ilvl w:val="0"/>
          <w:numId w:val="1"/>
        </w:numPr>
        <w:spacing w:before="0" w:after="160" w:line="259" w:lineRule="auto"/>
      </w:pPr>
      <w:r w:rsidRPr="00A53189">
        <w:t>SEAs are available for all VCE external assessments – including the GAT</w:t>
      </w:r>
    </w:p>
    <w:p w14:paraId="0767C2F0" w14:textId="77777777" w:rsidR="00477B9C" w:rsidRPr="00C178B8" w:rsidRDefault="00477B9C" w:rsidP="00477B9C">
      <w:pPr>
        <w:pStyle w:val="VCAAHeading4"/>
      </w:pPr>
      <w:r w:rsidRPr="00C178B8">
        <w:t>School Responsibilities</w:t>
      </w:r>
    </w:p>
    <w:p w14:paraId="32AE1441" w14:textId="77777777" w:rsidR="00477B9C" w:rsidRDefault="00477B9C" w:rsidP="00477B9C">
      <w:pPr>
        <w:numPr>
          <w:ilvl w:val="0"/>
          <w:numId w:val="3"/>
        </w:numPr>
        <w:spacing w:before="0" w:after="160" w:line="259" w:lineRule="auto"/>
      </w:pPr>
      <w:r>
        <w:t>Schools</w:t>
      </w:r>
      <w:r w:rsidRPr="003F7C9F">
        <w:t xml:space="preserve"> identify students who require special </w:t>
      </w:r>
      <w:r>
        <w:t>examination arrangements for both school based and external assessments.</w:t>
      </w:r>
    </w:p>
    <w:p w14:paraId="5B4BDBC0" w14:textId="77777777" w:rsidR="00477B9C" w:rsidRDefault="00477B9C" w:rsidP="00477B9C">
      <w:pPr>
        <w:numPr>
          <w:ilvl w:val="0"/>
          <w:numId w:val="3"/>
        </w:numPr>
        <w:spacing w:before="0" w:after="160" w:line="259" w:lineRule="auto"/>
      </w:pPr>
      <w:r>
        <w:t>This can happen at any point in the students schooling.</w:t>
      </w:r>
    </w:p>
    <w:p w14:paraId="083A424D" w14:textId="77777777" w:rsidR="00477B9C" w:rsidRPr="00C42149" w:rsidRDefault="00477B9C" w:rsidP="00477B9C">
      <w:pPr>
        <w:numPr>
          <w:ilvl w:val="0"/>
          <w:numId w:val="3"/>
        </w:numPr>
        <w:spacing w:before="0" w:after="160" w:line="259" w:lineRule="auto"/>
        <w:rPr>
          <w:color w:val="FF0000"/>
        </w:rPr>
      </w:pPr>
      <w:r>
        <w:t xml:space="preserve">We would expect students with chronic conditions to be well known to schools as they are usually identified early in the students schooling </w:t>
      </w:r>
    </w:p>
    <w:p w14:paraId="3E0E2684" w14:textId="77777777" w:rsidR="00477B9C" w:rsidRDefault="00477B9C" w:rsidP="00477B9C">
      <w:pPr>
        <w:numPr>
          <w:ilvl w:val="0"/>
          <w:numId w:val="3"/>
        </w:numPr>
        <w:spacing w:before="0" w:after="160" w:line="259" w:lineRule="auto"/>
      </w:pPr>
      <w:r w:rsidRPr="003F7C9F">
        <w:t xml:space="preserve">Schools </w:t>
      </w:r>
      <w:r>
        <w:t xml:space="preserve">engage with the VCAA on behalf of students – and </w:t>
      </w:r>
      <w:r w:rsidRPr="003F7C9F">
        <w:t>need to communicate openly and honestly with students and their parents</w:t>
      </w:r>
      <w:r>
        <w:t xml:space="preserve"> about reasonable adjustments that maintain the integrity of the assessment</w:t>
      </w:r>
      <w:r w:rsidRPr="003F7C9F">
        <w:t>.</w:t>
      </w:r>
    </w:p>
    <w:p w14:paraId="3FE865AD" w14:textId="77777777" w:rsidR="00477B9C" w:rsidRPr="009553F6" w:rsidRDefault="00477B9C" w:rsidP="00477B9C">
      <w:pPr>
        <w:numPr>
          <w:ilvl w:val="0"/>
          <w:numId w:val="3"/>
        </w:numPr>
        <w:spacing w:before="0" w:after="160" w:line="259" w:lineRule="auto"/>
      </w:pPr>
      <w:r w:rsidRPr="009553F6">
        <w:lastRenderedPageBreak/>
        <w:t xml:space="preserve">Schools are encouraged to engage with the VCAA as part of our early </w:t>
      </w:r>
      <w:r w:rsidRPr="009553F6">
        <w:rPr>
          <w:b/>
          <w:bCs/>
        </w:rPr>
        <w:t>engagement process</w:t>
      </w:r>
      <w:r w:rsidRPr="009553F6">
        <w:t xml:space="preserve">. Special Provision staff can discuss with you what is happening for the student and what provisions you are thinking of </w:t>
      </w:r>
      <w:proofErr w:type="spellStart"/>
      <w:r w:rsidRPr="009553F6">
        <w:t>trialing</w:t>
      </w:r>
      <w:proofErr w:type="spellEnd"/>
      <w:r w:rsidRPr="009553F6">
        <w:t>.</w:t>
      </w:r>
    </w:p>
    <w:p w14:paraId="519181E0" w14:textId="77777777" w:rsidR="00477B9C" w:rsidRDefault="00477B9C" w:rsidP="00477B9C">
      <w:pPr>
        <w:numPr>
          <w:ilvl w:val="0"/>
          <w:numId w:val="3"/>
        </w:numPr>
        <w:spacing w:before="0" w:after="160" w:line="259" w:lineRule="auto"/>
      </w:pPr>
      <w:r w:rsidRPr="008E7759">
        <w:t>Schools apply to the VCAA for Special Examination Arra</w:t>
      </w:r>
      <w:r>
        <w:t>ngements on behalf of students and communicate VCAA decisions to students and their families.</w:t>
      </w:r>
    </w:p>
    <w:p w14:paraId="56305B05" w14:textId="77777777" w:rsidR="00477B9C" w:rsidRDefault="00477B9C" w:rsidP="00477B9C">
      <w:pPr>
        <w:numPr>
          <w:ilvl w:val="0"/>
          <w:numId w:val="3"/>
        </w:numPr>
        <w:spacing w:before="0" w:after="160" w:line="259" w:lineRule="auto"/>
      </w:pPr>
      <w:r>
        <w:t>The application closing date is the last day of term one – being 8 April in 2022.</w:t>
      </w:r>
    </w:p>
    <w:p w14:paraId="1820B732" w14:textId="77777777" w:rsidR="00477B9C" w:rsidRPr="00C178B8" w:rsidRDefault="00477B9C" w:rsidP="00477B9C">
      <w:pPr>
        <w:pStyle w:val="VCAAHeading4"/>
      </w:pPr>
      <w:r w:rsidRPr="00C178B8">
        <w:t>When are arrangements appropriate?</w:t>
      </w:r>
    </w:p>
    <w:p w14:paraId="3A20AD9D" w14:textId="77777777" w:rsidR="00477B9C" w:rsidRPr="00CB4660" w:rsidRDefault="00477B9C" w:rsidP="00477B9C">
      <w:pPr>
        <w:pStyle w:val="ListParagraph"/>
        <w:numPr>
          <w:ilvl w:val="0"/>
          <w:numId w:val="2"/>
        </w:numPr>
        <w:spacing w:before="120"/>
        <w:ind w:left="714" w:hanging="357"/>
        <w:rPr>
          <w:rFonts w:ascii="Arial" w:hAnsi="Arial" w:cs="Arial"/>
          <w:sz w:val="24"/>
          <w:szCs w:val="24"/>
        </w:rPr>
      </w:pPr>
      <w:r w:rsidRPr="00CB4660">
        <w:rPr>
          <w:rFonts w:ascii="Arial" w:hAnsi="Arial" w:cs="Arial"/>
          <w:sz w:val="24"/>
          <w:szCs w:val="24"/>
        </w:rPr>
        <w:t>Special Examination Arrangements may be needed if a student’s performance in an examination is impacted by a disability or illness and that condition is impacting on their ability to access or respond to a timed examination.</w:t>
      </w:r>
    </w:p>
    <w:p w14:paraId="12B13F92" w14:textId="77777777" w:rsidR="00477B9C" w:rsidRPr="00CB4660" w:rsidRDefault="00477B9C" w:rsidP="00477B9C">
      <w:pPr>
        <w:pStyle w:val="ListParagraph"/>
        <w:numPr>
          <w:ilvl w:val="0"/>
          <w:numId w:val="2"/>
        </w:numPr>
        <w:spacing w:before="120"/>
        <w:ind w:left="714" w:hanging="357"/>
        <w:rPr>
          <w:rFonts w:ascii="Arial" w:hAnsi="Arial" w:cs="Arial"/>
          <w:sz w:val="24"/>
          <w:szCs w:val="24"/>
        </w:rPr>
      </w:pPr>
      <w:proofErr w:type="gramStart"/>
      <w:r w:rsidRPr="00CB4660">
        <w:rPr>
          <w:rFonts w:ascii="Arial" w:hAnsi="Arial" w:cs="Arial"/>
          <w:sz w:val="24"/>
          <w:szCs w:val="24"/>
        </w:rPr>
        <w:t>So</w:t>
      </w:r>
      <w:proofErr w:type="gramEnd"/>
      <w:r w:rsidRPr="00CB4660">
        <w:rPr>
          <w:rFonts w:ascii="Arial" w:hAnsi="Arial" w:cs="Arial"/>
          <w:sz w:val="24"/>
          <w:szCs w:val="24"/>
        </w:rPr>
        <w:t xml:space="preserve"> the main consideration is the impact of the disability or illness on the student’s ability to show what they have learned and not the existence of the disability or illness alone.</w:t>
      </w:r>
    </w:p>
    <w:p w14:paraId="34E08E38" w14:textId="77777777" w:rsidR="00477B9C" w:rsidRPr="00CB4660" w:rsidRDefault="00477B9C" w:rsidP="00477B9C">
      <w:pPr>
        <w:pStyle w:val="ListParagraph"/>
        <w:numPr>
          <w:ilvl w:val="0"/>
          <w:numId w:val="2"/>
        </w:numPr>
        <w:spacing w:before="120"/>
        <w:ind w:left="714" w:hanging="357"/>
        <w:rPr>
          <w:rFonts w:ascii="Arial" w:hAnsi="Arial" w:cs="Arial"/>
          <w:sz w:val="24"/>
          <w:szCs w:val="24"/>
        </w:rPr>
      </w:pPr>
      <w:r w:rsidRPr="00CB4660">
        <w:rPr>
          <w:rFonts w:ascii="Arial" w:hAnsi="Arial" w:cs="Arial"/>
          <w:sz w:val="24"/>
          <w:szCs w:val="24"/>
        </w:rPr>
        <w:t>The integrity of the exam must be maintained - the adjustments made to an examination will be designed to facilitate access and will not in any way remove or reduce the requirement to demonstrate a skill or knowledge that is the focus of the assessment.</w:t>
      </w:r>
    </w:p>
    <w:p w14:paraId="25BCCD71" w14:textId="77777777" w:rsidR="00477B9C" w:rsidRPr="00C178B8" w:rsidRDefault="00477B9C" w:rsidP="00477B9C">
      <w:pPr>
        <w:pStyle w:val="VCAAHeading4"/>
      </w:pPr>
      <w:r w:rsidRPr="00C178B8">
        <w:t>Conditions</w:t>
      </w:r>
    </w:p>
    <w:p w14:paraId="57222C62" w14:textId="77777777" w:rsidR="00477B9C" w:rsidRPr="00CB4660" w:rsidRDefault="00477B9C" w:rsidP="00477B9C">
      <w:pPr>
        <w:pStyle w:val="ListParagraph"/>
        <w:numPr>
          <w:ilvl w:val="0"/>
          <w:numId w:val="2"/>
        </w:numPr>
        <w:rPr>
          <w:rFonts w:ascii="Arial" w:hAnsi="Arial" w:cs="Arial"/>
          <w:sz w:val="24"/>
          <w:szCs w:val="24"/>
        </w:rPr>
      </w:pPr>
      <w:r w:rsidRPr="00CB4660">
        <w:rPr>
          <w:rFonts w:ascii="Arial" w:hAnsi="Arial" w:cs="Arial"/>
          <w:sz w:val="24"/>
          <w:szCs w:val="24"/>
        </w:rPr>
        <w:t xml:space="preserve">Conditions can be acute or short in duration – such as a broken arm </w:t>
      </w:r>
    </w:p>
    <w:p w14:paraId="550D9E9E" w14:textId="77777777" w:rsidR="00477B9C" w:rsidRPr="00CB4660" w:rsidRDefault="00477B9C" w:rsidP="00477B9C">
      <w:pPr>
        <w:pStyle w:val="ListParagraph"/>
        <w:numPr>
          <w:ilvl w:val="0"/>
          <w:numId w:val="2"/>
        </w:numPr>
        <w:rPr>
          <w:rFonts w:ascii="Arial" w:hAnsi="Arial" w:cs="Arial"/>
          <w:sz w:val="24"/>
          <w:szCs w:val="24"/>
        </w:rPr>
      </w:pPr>
      <w:r w:rsidRPr="00CB4660">
        <w:rPr>
          <w:rFonts w:ascii="Arial" w:hAnsi="Arial" w:cs="Arial"/>
          <w:sz w:val="24"/>
          <w:szCs w:val="24"/>
        </w:rPr>
        <w:t xml:space="preserve">They can be episodic such as many mental health conditions </w:t>
      </w:r>
    </w:p>
    <w:p w14:paraId="068AE646" w14:textId="77777777" w:rsidR="00477B9C" w:rsidRPr="00CB4660" w:rsidRDefault="00477B9C" w:rsidP="00477B9C">
      <w:pPr>
        <w:pStyle w:val="ListParagraph"/>
        <w:numPr>
          <w:ilvl w:val="0"/>
          <w:numId w:val="2"/>
        </w:numPr>
        <w:rPr>
          <w:rFonts w:ascii="Arial" w:hAnsi="Arial" w:cs="Arial"/>
          <w:sz w:val="24"/>
          <w:szCs w:val="24"/>
        </w:rPr>
      </w:pPr>
      <w:r w:rsidRPr="00CB4660">
        <w:rPr>
          <w:rFonts w:ascii="Arial" w:hAnsi="Arial" w:cs="Arial"/>
          <w:sz w:val="24"/>
          <w:szCs w:val="24"/>
        </w:rPr>
        <w:t>Or they can be chronic or long term – such as a language disorder, learning disorder, motor coordination or vision impairment.</w:t>
      </w:r>
    </w:p>
    <w:p w14:paraId="19B0BADD" w14:textId="77777777" w:rsidR="00477B9C" w:rsidRPr="00C066A6" w:rsidRDefault="00477B9C" w:rsidP="00477B9C">
      <w:pPr>
        <w:pStyle w:val="VCAAHeading4"/>
      </w:pPr>
      <w:r w:rsidRPr="00C178B8">
        <w:t>Special Examination Arrangements</w:t>
      </w:r>
    </w:p>
    <w:p w14:paraId="2BFD62F0" w14:textId="77777777" w:rsidR="00477B9C" w:rsidRPr="00702791" w:rsidRDefault="00477B9C" w:rsidP="00477B9C">
      <w:pPr>
        <w:numPr>
          <w:ilvl w:val="0"/>
          <w:numId w:val="1"/>
        </w:numPr>
        <w:spacing w:before="0" w:after="160" w:line="259" w:lineRule="auto"/>
      </w:pPr>
      <w:r w:rsidRPr="00C066A6">
        <w:t>The</w:t>
      </w:r>
      <w:r>
        <w:t>re</w:t>
      </w:r>
      <w:r w:rsidRPr="00C066A6">
        <w:t xml:space="preserve"> are a number of Special Examination Arrangements available to students</w:t>
      </w:r>
      <w:r>
        <w:t xml:space="preserve">, including </w:t>
      </w:r>
      <w:r w:rsidRPr="00702791">
        <w:t xml:space="preserve">Rest </w:t>
      </w:r>
      <w:proofErr w:type="gramStart"/>
      <w:r w:rsidRPr="00702791">
        <w:t>breaks ,</w:t>
      </w:r>
      <w:proofErr w:type="gramEnd"/>
      <w:r w:rsidRPr="00702791">
        <w:t xml:space="preserve"> Extra working time, </w:t>
      </w:r>
      <w:r>
        <w:t>a clarifier, voice to text technology, a separate room, a reader, permission to take medication, or permission to have food and drink in the examination room.</w:t>
      </w:r>
      <w:r w:rsidRPr="00702791">
        <w:t xml:space="preserve"> </w:t>
      </w:r>
    </w:p>
    <w:p w14:paraId="32C962EF" w14:textId="77777777" w:rsidR="00477B9C" w:rsidRDefault="00477B9C" w:rsidP="00477B9C">
      <w:pPr>
        <w:numPr>
          <w:ilvl w:val="0"/>
          <w:numId w:val="1"/>
        </w:numPr>
        <w:spacing w:before="0" w:after="160" w:line="259" w:lineRule="auto"/>
      </w:pPr>
      <w:r>
        <w:t>Details about conditions and potential special examination arrangements and when they might be appropriate is on our website.</w:t>
      </w:r>
    </w:p>
    <w:p w14:paraId="72E54B2E" w14:textId="77777777" w:rsidR="00477B9C" w:rsidRDefault="00477B9C" w:rsidP="00477B9C">
      <w:pPr>
        <w:numPr>
          <w:ilvl w:val="0"/>
          <w:numId w:val="1"/>
        </w:numPr>
        <w:spacing w:before="0" w:after="160" w:line="259" w:lineRule="auto"/>
      </w:pPr>
      <w:r>
        <w:t xml:space="preserve">Not every available provision is not listed on the website – we can get very niche </w:t>
      </w:r>
      <w:proofErr w:type="gramStart"/>
      <w:r>
        <w:t>requests,</w:t>
      </w:r>
      <w:proofErr w:type="gramEnd"/>
      <w:r>
        <w:t xml:space="preserve"> it </w:t>
      </w:r>
      <w:proofErr w:type="spellStart"/>
      <w:r>
        <w:t>it</w:t>
      </w:r>
      <w:proofErr w:type="spellEnd"/>
      <w:r>
        <w:t xml:space="preserve"> really is about the needs of the individual student.</w:t>
      </w:r>
    </w:p>
    <w:p w14:paraId="4ACF5E05" w14:textId="77777777" w:rsidR="00CB4660" w:rsidRDefault="00CB4660" w:rsidP="00477B9C">
      <w:pPr>
        <w:pStyle w:val="VCAAHeading4"/>
      </w:pPr>
    </w:p>
    <w:p w14:paraId="6182142D" w14:textId="299817A2" w:rsidR="00477B9C" w:rsidRPr="00C178B8" w:rsidRDefault="00477B9C" w:rsidP="00477B9C">
      <w:pPr>
        <w:pStyle w:val="VCAAHeading4"/>
      </w:pPr>
      <w:r w:rsidRPr="00C178B8">
        <w:t>Suitable Arrangements</w:t>
      </w:r>
    </w:p>
    <w:p w14:paraId="564CF4E9" w14:textId="77777777" w:rsidR="00477B9C" w:rsidRDefault="00477B9C" w:rsidP="00477B9C">
      <w:pPr>
        <w:numPr>
          <w:ilvl w:val="0"/>
          <w:numId w:val="1"/>
        </w:numPr>
        <w:spacing w:before="0" w:after="160" w:line="259" w:lineRule="auto"/>
      </w:pPr>
      <w:r>
        <w:t>It is not the case that a particular diagnosis necessarily requires a particular arrangement.</w:t>
      </w:r>
    </w:p>
    <w:p w14:paraId="615C846E" w14:textId="77777777" w:rsidR="00477B9C" w:rsidRDefault="00477B9C" w:rsidP="00477B9C">
      <w:pPr>
        <w:numPr>
          <w:ilvl w:val="0"/>
          <w:numId w:val="1"/>
        </w:numPr>
        <w:spacing w:before="0" w:after="160" w:line="259" w:lineRule="auto"/>
      </w:pPr>
      <w:r>
        <w:lastRenderedPageBreak/>
        <w:t>The functional impact needs to be considered – what is the impact of that condition on that student’s ability to access and respond to an examination?</w:t>
      </w:r>
    </w:p>
    <w:p w14:paraId="35515E7B" w14:textId="77777777" w:rsidR="00477B9C" w:rsidRDefault="00477B9C" w:rsidP="00477B9C">
      <w:pPr>
        <w:numPr>
          <w:ilvl w:val="0"/>
          <w:numId w:val="1"/>
        </w:numPr>
        <w:spacing w:before="0" w:after="160" w:line="259" w:lineRule="auto"/>
      </w:pPr>
      <w:r>
        <w:t>And what can be put in place to remove or lesson that impact.</w:t>
      </w:r>
    </w:p>
    <w:p w14:paraId="0DA26B74" w14:textId="77777777" w:rsidR="00477B9C" w:rsidRPr="00535486" w:rsidRDefault="00477B9C" w:rsidP="00477B9C">
      <w:pPr>
        <w:numPr>
          <w:ilvl w:val="0"/>
          <w:numId w:val="1"/>
        </w:numPr>
        <w:spacing w:before="0" w:after="160" w:line="259" w:lineRule="auto"/>
      </w:pPr>
      <w:r w:rsidRPr="00C066A6">
        <w:t xml:space="preserve">Appropriate arrangements may vary depending on what is being assessed and the format of the examination – </w:t>
      </w:r>
      <w:r>
        <w:t xml:space="preserve">for example what is required for an </w:t>
      </w:r>
      <w:r w:rsidRPr="00C066A6">
        <w:t xml:space="preserve">extended written response </w:t>
      </w:r>
      <w:r>
        <w:t>may not be necessary for a</w:t>
      </w:r>
      <w:r w:rsidRPr="00C066A6">
        <w:t xml:space="preserve"> mat</w:t>
      </w:r>
      <w:r>
        <w:t xml:space="preserve">hematics </w:t>
      </w:r>
      <w:r w:rsidRPr="00C066A6">
        <w:t xml:space="preserve">examination. </w:t>
      </w:r>
    </w:p>
    <w:p w14:paraId="2B0101A8" w14:textId="77777777" w:rsidR="00477B9C" w:rsidRPr="00535486" w:rsidRDefault="00477B9C" w:rsidP="00477B9C">
      <w:pPr>
        <w:numPr>
          <w:ilvl w:val="0"/>
          <w:numId w:val="1"/>
        </w:numPr>
        <w:spacing w:before="0" w:after="160" w:line="259" w:lineRule="auto"/>
      </w:pPr>
      <w:r>
        <w:t>It is important to trial arrangements to ensure that they will work and review what is put in place in place at regular intervals.</w:t>
      </w:r>
    </w:p>
    <w:p w14:paraId="60A94C91" w14:textId="77777777" w:rsidR="00477B9C" w:rsidRPr="001F2A15" w:rsidRDefault="00477B9C" w:rsidP="00477B9C">
      <w:pPr>
        <w:numPr>
          <w:ilvl w:val="0"/>
          <w:numId w:val="1"/>
        </w:numPr>
        <w:spacing w:before="0" w:after="160" w:line="259" w:lineRule="auto"/>
      </w:pPr>
      <w:r>
        <w:t>Consider starting with</w:t>
      </w:r>
      <w:proofErr w:type="gramStart"/>
      <w:r>
        <w:t xml:space="preserve"> ..</w:t>
      </w:r>
      <w:proofErr w:type="gramEnd"/>
      <w:r>
        <w:t xml:space="preserve"> for want of a </w:t>
      </w:r>
      <w:proofErr w:type="gramStart"/>
      <w:r>
        <w:t>better word ‘lower level’ arrangements</w:t>
      </w:r>
      <w:proofErr w:type="gramEnd"/>
      <w:r>
        <w:t xml:space="preserve"> before progressing to more complex arrangements – for example in the case of a student </w:t>
      </w:r>
      <w:r w:rsidRPr="00B008E3">
        <w:t>with a generalized anxiety disorder placement</w:t>
      </w:r>
      <w:r>
        <w:t xml:space="preserve"> in the examination room – near an exit or at the back of the room – may be enough to assist that student, if this does not help consider </w:t>
      </w:r>
      <w:proofErr w:type="spellStart"/>
      <w:r>
        <w:t>trialing</w:t>
      </w:r>
      <w:proofErr w:type="spellEnd"/>
      <w:r>
        <w:t xml:space="preserve"> Rest breaks or permission to leave the room before progressing to a small group setting or a separate room.</w:t>
      </w:r>
    </w:p>
    <w:p w14:paraId="59EB3BE7" w14:textId="77777777" w:rsidR="00477B9C" w:rsidRPr="00C178B8" w:rsidRDefault="00477B9C" w:rsidP="00477B9C">
      <w:pPr>
        <w:pStyle w:val="VCAAHeading4"/>
      </w:pPr>
      <w:r w:rsidRPr="00C178B8">
        <w:t>Do not need VCAA approval:</w:t>
      </w:r>
    </w:p>
    <w:p w14:paraId="3065F5F8" w14:textId="77777777" w:rsidR="00477B9C" w:rsidRDefault="00477B9C" w:rsidP="00477B9C">
      <w:r>
        <w:t>Some arrangements do not need VCAA approval, these include:</w:t>
      </w:r>
    </w:p>
    <w:p w14:paraId="5299F7E5" w14:textId="77777777" w:rsidR="00477B9C" w:rsidRPr="00CB4660" w:rsidRDefault="00477B9C" w:rsidP="00477B9C">
      <w:pPr>
        <w:pStyle w:val="ListParagraph"/>
        <w:numPr>
          <w:ilvl w:val="0"/>
          <w:numId w:val="5"/>
        </w:numPr>
        <w:rPr>
          <w:rFonts w:ascii="Arial" w:hAnsi="Arial" w:cs="Arial"/>
          <w:sz w:val="24"/>
          <w:szCs w:val="24"/>
        </w:rPr>
      </w:pPr>
      <w:r w:rsidRPr="00CB4660">
        <w:rPr>
          <w:rFonts w:ascii="Arial" w:hAnsi="Arial" w:cs="Arial"/>
          <w:sz w:val="24"/>
          <w:szCs w:val="24"/>
          <w:lang w:val="en-US"/>
        </w:rPr>
        <w:t xml:space="preserve">Seating arrangements within the main cohort </w:t>
      </w:r>
    </w:p>
    <w:p w14:paraId="77C7ECFF" w14:textId="77777777" w:rsidR="00477B9C" w:rsidRPr="00CB4660" w:rsidRDefault="00477B9C" w:rsidP="00477B9C">
      <w:pPr>
        <w:pStyle w:val="ListParagraph"/>
        <w:numPr>
          <w:ilvl w:val="0"/>
          <w:numId w:val="5"/>
        </w:numPr>
        <w:rPr>
          <w:rFonts w:ascii="Arial" w:hAnsi="Arial" w:cs="Arial"/>
          <w:sz w:val="24"/>
          <w:szCs w:val="24"/>
        </w:rPr>
      </w:pPr>
      <w:r w:rsidRPr="00CB4660">
        <w:rPr>
          <w:rFonts w:ascii="Arial" w:hAnsi="Arial" w:cs="Arial"/>
          <w:sz w:val="24"/>
          <w:szCs w:val="24"/>
          <w:lang w:val="en-US"/>
        </w:rPr>
        <w:t>Tinted / colored lenses</w:t>
      </w:r>
    </w:p>
    <w:p w14:paraId="4BDBE68D" w14:textId="77777777" w:rsidR="00477B9C" w:rsidRPr="00CB4660" w:rsidRDefault="00477B9C" w:rsidP="00477B9C">
      <w:pPr>
        <w:pStyle w:val="ListParagraph"/>
        <w:numPr>
          <w:ilvl w:val="0"/>
          <w:numId w:val="5"/>
        </w:numPr>
        <w:rPr>
          <w:rFonts w:ascii="Arial" w:hAnsi="Arial" w:cs="Arial"/>
          <w:sz w:val="24"/>
          <w:szCs w:val="24"/>
        </w:rPr>
      </w:pPr>
      <w:r w:rsidRPr="00CB4660">
        <w:rPr>
          <w:rFonts w:ascii="Arial" w:hAnsi="Arial" w:cs="Arial"/>
          <w:sz w:val="24"/>
          <w:szCs w:val="24"/>
          <w:lang w:val="en-US"/>
        </w:rPr>
        <w:t>Asthma inhalers</w:t>
      </w:r>
    </w:p>
    <w:p w14:paraId="4E288910" w14:textId="77777777" w:rsidR="00477B9C" w:rsidRPr="00CB4660" w:rsidRDefault="00477B9C" w:rsidP="00477B9C">
      <w:pPr>
        <w:pStyle w:val="ListParagraph"/>
        <w:numPr>
          <w:ilvl w:val="0"/>
          <w:numId w:val="5"/>
        </w:numPr>
        <w:rPr>
          <w:rFonts w:ascii="Arial" w:hAnsi="Arial" w:cs="Arial"/>
          <w:sz w:val="24"/>
          <w:szCs w:val="24"/>
        </w:rPr>
      </w:pPr>
      <w:r w:rsidRPr="00CB4660">
        <w:rPr>
          <w:rFonts w:ascii="Arial" w:hAnsi="Arial" w:cs="Arial"/>
          <w:sz w:val="24"/>
          <w:szCs w:val="24"/>
          <w:lang w:val="en-US"/>
        </w:rPr>
        <w:t xml:space="preserve">Epi-pens </w:t>
      </w:r>
    </w:p>
    <w:p w14:paraId="041EFC7D" w14:textId="77777777" w:rsidR="00477B9C" w:rsidRPr="00CB4660" w:rsidRDefault="00477B9C" w:rsidP="00477B9C">
      <w:pPr>
        <w:pStyle w:val="ListParagraph"/>
        <w:numPr>
          <w:ilvl w:val="0"/>
          <w:numId w:val="5"/>
        </w:numPr>
        <w:rPr>
          <w:rFonts w:ascii="Arial" w:hAnsi="Arial" w:cs="Arial"/>
          <w:sz w:val="24"/>
          <w:szCs w:val="24"/>
        </w:rPr>
      </w:pPr>
      <w:r w:rsidRPr="00CB4660">
        <w:rPr>
          <w:rFonts w:ascii="Arial" w:hAnsi="Arial" w:cs="Arial"/>
          <w:sz w:val="24"/>
          <w:szCs w:val="24"/>
          <w:lang w:val="en-US"/>
        </w:rPr>
        <w:t>Up to 1,500ml of drinking water in a clear bottle.</w:t>
      </w:r>
    </w:p>
    <w:p w14:paraId="38E00B12" w14:textId="77777777" w:rsidR="00477B9C" w:rsidRDefault="00477B9C" w:rsidP="00477B9C">
      <w:pPr>
        <w:pStyle w:val="Footer"/>
      </w:pPr>
    </w:p>
    <w:p w14:paraId="362A69B9" w14:textId="77777777" w:rsidR="00477B9C" w:rsidRDefault="00477B9C" w:rsidP="00E55324">
      <w:pPr>
        <w:pStyle w:val="Footer"/>
      </w:pPr>
    </w:p>
    <w:p w14:paraId="4AF0AE14" w14:textId="5CE772C2" w:rsidR="00E55324" w:rsidRDefault="005061BF"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903E" w14:textId="77777777" w:rsidR="00AE6036" w:rsidRDefault="00AE6036" w:rsidP="00283640">
      <w:pPr>
        <w:spacing w:before="0" w:after="0" w:line="240" w:lineRule="auto"/>
      </w:pPr>
      <w:r>
        <w:separator/>
      </w:r>
    </w:p>
  </w:endnote>
  <w:endnote w:type="continuationSeparator" w:id="0">
    <w:p w14:paraId="547B23B4" w14:textId="77777777" w:rsidR="00AE6036" w:rsidRDefault="00AE603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6A54" w14:textId="77777777" w:rsidR="00AE6036" w:rsidRDefault="00AE6036" w:rsidP="00283640">
      <w:pPr>
        <w:spacing w:before="0" w:after="0" w:line="240" w:lineRule="auto"/>
      </w:pPr>
      <w:r>
        <w:separator/>
      </w:r>
    </w:p>
  </w:footnote>
  <w:footnote w:type="continuationSeparator" w:id="0">
    <w:p w14:paraId="15281F91" w14:textId="77777777" w:rsidR="00AE6036" w:rsidRDefault="00AE6036"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E09E1"/>
    <w:multiLevelType w:val="hybridMultilevel"/>
    <w:tmpl w:val="6150CD4E"/>
    <w:lvl w:ilvl="0" w:tplc="A8CE61B0">
      <w:start w:val="1"/>
      <w:numFmt w:val="bullet"/>
      <w:lvlText w:val="•"/>
      <w:lvlJc w:val="left"/>
      <w:pPr>
        <w:tabs>
          <w:tab w:val="num" w:pos="720"/>
        </w:tabs>
        <w:ind w:left="720" w:hanging="360"/>
      </w:pPr>
      <w:rPr>
        <w:rFonts w:ascii="Arial" w:hAnsi="Arial" w:hint="default"/>
      </w:rPr>
    </w:lvl>
    <w:lvl w:ilvl="1" w:tplc="28E67C6E">
      <w:numFmt w:val="bullet"/>
      <w:lvlText w:val="-"/>
      <w:lvlJc w:val="left"/>
      <w:pPr>
        <w:tabs>
          <w:tab w:val="num" w:pos="1440"/>
        </w:tabs>
        <w:ind w:left="1440" w:hanging="360"/>
      </w:pPr>
      <w:rPr>
        <w:rFonts w:ascii="Times New Roman" w:hAnsi="Times New Roman" w:hint="default"/>
      </w:rPr>
    </w:lvl>
    <w:lvl w:ilvl="2" w:tplc="077EE966" w:tentative="1">
      <w:start w:val="1"/>
      <w:numFmt w:val="bullet"/>
      <w:lvlText w:val="•"/>
      <w:lvlJc w:val="left"/>
      <w:pPr>
        <w:tabs>
          <w:tab w:val="num" w:pos="2160"/>
        </w:tabs>
        <w:ind w:left="2160" w:hanging="360"/>
      </w:pPr>
      <w:rPr>
        <w:rFonts w:ascii="Arial" w:hAnsi="Arial" w:hint="default"/>
      </w:rPr>
    </w:lvl>
    <w:lvl w:ilvl="3" w:tplc="AC0AA486" w:tentative="1">
      <w:start w:val="1"/>
      <w:numFmt w:val="bullet"/>
      <w:lvlText w:val="•"/>
      <w:lvlJc w:val="left"/>
      <w:pPr>
        <w:tabs>
          <w:tab w:val="num" w:pos="2880"/>
        </w:tabs>
        <w:ind w:left="2880" w:hanging="360"/>
      </w:pPr>
      <w:rPr>
        <w:rFonts w:ascii="Arial" w:hAnsi="Arial" w:hint="default"/>
      </w:rPr>
    </w:lvl>
    <w:lvl w:ilvl="4" w:tplc="2554888A" w:tentative="1">
      <w:start w:val="1"/>
      <w:numFmt w:val="bullet"/>
      <w:lvlText w:val="•"/>
      <w:lvlJc w:val="left"/>
      <w:pPr>
        <w:tabs>
          <w:tab w:val="num" w:pos="3600"/>
        </w:tabs>
        <w:ind w:left="3600" w:hanging="360"/>
      </w:pPr>
      <w:rPr>
        <w:rFonts w:ascii="Arial" w:hAnsi="Arial" w:hint="default"/>
      </w:rPr>
    </w:lvl>
    <w:lvl w:ilvl="5" w:tplc="8ABCB72A" w:tentative="1">
      <w:start w:val="1"/>
      <w:numFmt w:val="bullet"/>
      <w:lvlText w:val="•"/>
      <w:lvlJc w:val="left"/>
      <w:pPr>
        <w:tabs>
          <w:tab w:val="num" w:pos="4320"/>
        </w:tabs>
        <w:ind w:left="4320" w:hanging="360"/>
      </w:pPr>
      <w:rPr>
        <w:rFonts w:ascii="Arial" w:hAnsi="Arial" w:hint="default"/>
      </w:rPr>
    </w:lvl>
    <w:lvl w:ilvl="6" w:tplc="401E472A" w:tentative="1">
      <w:start w:val="1"/>
      <w:numFmt w:val="bullet"/>
      <w:lvlText w:val="•"/>
      <w:lvlJc w:val="left"/>
      <w:pPr>
        <w:tabs>
          <w:tab w:val="num" w:pos="5040"/>
        </w:tabs>
        <w:ind w:left="5040" w:hanging="360"/>
      </w:pPr>
      <w:rPr>
        <w:rFonts w:ascii="Arial" w:hAnsi="Arial" w:hint="default"/>
      </w:rPr>
    </w:lvl>
    <w:lvl w:ilvl="7" w:tplc="65D64554" w:tentative="1">
      <w:start w:val="1"/>
      <w:numFmt w:val="bullet"/>
      <w:lvlText w:val="•"/>
      <w:lvlJc w:val="left"/>
      <w:pPr>
        <w:tabs>
          <w:tab w:val="num" w:pos="5760"/>
        </w:tabs>
        <w:ind w:left="5760" w:hanging="360"/>
      </w:pPr>
      <w:rPr>
        <w:rFonts w:ascii="Arial" w:hAnsi="Arial" w:hint="default"/>
      </w:rPr>
    </w:lvl>
    <w:lvl w:ilvl="8" w:tplc="F45C1E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3E016F"/>
    <w:multiLevelType w:val="hybridMultilevel"/>
    <w:tmpl w:val="61626930"/>
    <w:lvl w:ilvl="0" w:tplc="BFA002C2">
      <w:start w:val="1"/>
      <w:numFmt w:val="bullet"/>
      <w:lvlText w:val="•"/>
      <w:lvlJc w:val="left"/>
      <w:pPr>
        <w:tabs>
          <w:tab w:val="num" w:pos="720"/>
        </w:tabs>
        <w:ind w:left="720" w:hanging="360"/>
      </w:pPr>
      <w:rPr>
        <w:rFonts w:ascii="Arial" w:hAnsi="Arial" w:hint="default"/>
      </w:rPr>
    </w:lvl>
    <w:lvl w:ilvl="1" w:tplc="0CC8C52C">
      <w:start w:val="1"/>
      <w:numFmt w:val="bullet"/>
      <w:lvlText w:val="•"/>
      <w:lvlJc w:val="left"/>
      <w:pPr>
        <w:tabs>
          <w:tab w:val="num" w:pos="1440"/>
        </w:tabs>
        <w:ind w:left="1440" w:hanging="360"/>
      </w:pPr>
      <w:rPr>
        <w:rFonts w:ascii="Arial" w:hAnsi="Arial" w:hint="default"/>
      </w:rPr>
    </w:lvl>
    <w:lvl w:ilvl="2" w:tplc="C0CE439A" w:tentative="1">
      <w:start w:val="1"/>
      <w:numFmt w:val="bullet"/>
      <w:lvlText w:val="•"/>
      <w:lvlJc w:val="left"/>
      <w:pPr>
        <w:tabs>
          <w:tab w:val="num" w:pos="2160"/>
        </w:tabs>
        <w:ind w:left="2160" w:hanging="360"/>
      </w:pPr>
      <w:rPr>
        <w:rFonts w:ascii="Arial" w:hAnsi="Arial" w:hint="default"/>
      </w:rPr>
    </w:lvl>
    <w:lvl w:ilvl="3" w:tplc="BE5690E6" w:tentative="1">
      <w:start w:val="1"/>
      <w:numFmt w:val="bullet"/>
      <w:lvlText w:val="•"/>
      <w:lvlJc w:val="left"/>
      <w:pPr>
        <w:tabs>
          <w:tab w:val="num" w:pos="2880"/>
        </w:tabs>
        <w:ind w:left="2880" w:hanging="360"/>
      </w:pPr>
      <w:rPr>
        <w:rFonts w:ascii="Arial" w:hAnsi="Arial" w:hint="default"/>
      </w:rPr>
    </w:lvl>
    <w:lvl w:ilvl="4" w:tplc="57F0276A" w:tentative="1">
      <w:start w:val="1"/>
      <w:numFmt w:val="bullet"/>
      <w:lvlText w:val="•"/>
      <w:lvlJc w:val="left"/>
      <w:pPr>
        <w:tabs>
          <w:tab w:val="num" w:pos="3600"/>
        </w:tabs>
        <w:ind w:left="3600" w:hanging="360"/>
      </w:pPr>
      <w:rPr>
        <w:rFonts w:ascii="Arial" w:hAnsi="Arial" w:hint="default"/>
      </w:rPr>
    </w:lvl>
    <w:lvl w:ilvl="5" w:tplc="69AA114C" w:tentative="1">
      <w:start w:val="1"/>
      <w:numFmt w:val="bullet"/>
      <w:lvlText w:val="•"/>
      <w:lvlJc w:val="left"/>
      <w:pPr>
        <w:tabs>
          <w:tab w:val="num" w:pos="4320"/>
        </w:tabs>
        <w:ind w:left="4320" w:hanging="360"/>
      </w:pPr>
      <w:rPr>
        <w:rFonts w:ascii="Arial" w:hAnsi="Arial" w:hint="default"/>
      </w:rPr>
    </w:lvl>
    <w:lvl w:ilvl="6" w:tplc="DE1C70FA" w:tentative="1">
      <w:start w:val="1"/>
      <w:numFmt w:val="bullet"/>
      <w:lvlText w:val="•"/>
      <w:lvlJc w:val="left"/>
      <w:pPr>
        <w:tabs>
          <w:tab w:val="num" w:pos="5040"/>
        </w:tabs>
        <w:ind w:left="5040" w:hanging="360"/>
      </w:pPr>
      <w:rPr>
        <w:rFonts w:ascii="Arial" w:hAnsi="Arial" w:hint="default"/>
      </w:rPr>
    </w:lvl>
    <w:lvl w:ilvl="7" w:tplc="B6046AE8" w:tentative="1">
      <w:start w:val="1"/>
      <w:numFmt w:val="bullet"/>
      <w:lvlText w:val="•"/>
      <w:lvlJc w:val="left"/>
      <w:pPr>
        <w:tabs>
          <w:tab w:val="num" w:pos="5760"/>
        </w:tabs>
        <w:ind w:left="5760" w:hanging="360"/>
      </w:pPr>
      <w:rPr>
        <w:rFonts w:ascii="Arial" w:hAnsi="Arial" w:hint="default"/>
      </w:rPr>
    </w:lvl>
    <w:lvl w:ilvl="8" w:tplc="DF86A6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C273B5"/>
    <w:multiLevelType w:val="hybridMultilevel"/>
    <w:tmpl w:val="913C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0705DF"/>
    <w:multiLevelType w:val="hybridMultilevel"/>
    <w:tmpl w:val="C2AE2D44"/>
    <w:lvl w:ilvl="0" w:tplc="D3CCDF90">
      <w:start w:val="1"/>
      <w:numFmt w:val="bullet"/>
      <w:lvlText w:val="•"/>
      <w:lvlJc w:val="left"/>
      <w:pPr>
        <w:tabs>
          <w:tab w:val="num" w:pos="720"/>
        </w:tabs>
        <w:ind w:left="720" w:hanging="360"/>
      </w:pPr>
      <w:rPr>
        <w:rFonts w:ascii="Arial" w:hAnsi="Arial" w:hint="default"/>
      </w:rPr>
    </w:lvl>
    <w:lvl w:ilvl="1" w:tplc="24BE1842" w:tentative="1">
      <w:start w:val="1"/>
      <w:numFmt w:val="bullet"/>
      <w:lvlText w:val="•"/>
      <w:lvlJc w:val="left"/>
      <w:pPr>
        <w:tabs>
          <w:tab w:val="num" w:pos="1440"/>
        </w:tabs>
        <w:ind w:left="1440" w:hanging="360"/>
      </w:pPr>
      <w:rPr>
        <w:rFonts w:ascii="Arial" w:hAnsi="Arial" w:hint="default"/>
      </w:rPr>
    </w:lvl>
    <w:lvl w:ilvl="2" w:tplc="DD664996" w:tentative="1">
      <w:start w:val="1"/>
      <w:numFmt w:val="bullet"/>
      <w:lvlText w:val="•"/>
      <w:lvlJc w:val="left"/>
      <w:pPr>
        <w:tabs>
          <w:tab w:val="num" w:pos="2160"/>
        </w:tabs>
        <w:ind w:left="2160" w:hanging="360"/>
      </w:pPr>
      <w:rPr>
        <w:rFonts w:ascii="Arial" w:hAnsi="Arial" w:hint="default"/>
      </w:rPr>
    </w:lvl>
    <w:lvl w:ilvl="3" w:tplc="777E917E" w:tentative="1">
      <w:start w:val="1"/>
      <w:numFmt w:val="bullet"/>
      <w:lvlText w:val="•"/>
      <w:lvlJc w:val="left"/>
      <w:pPr>
        <w:tabs>
          <w:tab w:val="num" w:pos="2880"/>
        </w:tabs>
        <w:ind w:left="2880" w:hanging="360"/>
      </w:pPr>
      <w:rPr>
        <w:rFonts w:ascii="Arial" w:hAnsi="Arial" w:hint="default"/>
      </w:rPr>
    </w:lvl>
    <w:lvl w:ilvl="4" w:tplc="1FAEE022" w:tentative="1">
      <w:start w:val="1"/>
      <w:numFmt w:val="bullet"/>
      <w:lvlText w:val="•"/>
      <w:lvlJc w:val="left"/>
      <w:pPr>
        <w:tabs>
          <w:tab w:val="num" w:pos="3600"/>
        </w:tabs>
        <w:ind w:left="3600" w:hanging="360"/>
      </w:pPr>
      <w:rPr>
        <w:rFonts w:ascii="Arial" w:hAnsi="Arial" w:hint="default"/>
      </w:rPr>
    </w:lvl>
    <w:lvl w:ilvl="5" w:tplc="F9E8FC48" w:tentative="1">
      <w:start w:val="1"/>
      <w:numFmt w:val="bullet"/>
      <w:lvlText w:val="•"/>
      <w:lvlJc w:val="left"/>
      <w:pPr>
        <w:tabs>
          <w:tab w:val="num" w:pos="4320"/>
        </w:tabs>
        <w:ind w:left="4320" w:hanging="360"/>
      </w:pPr>
      <w:rPr>
        <w:rFonts w:ascii="Arial" w:hAnsi="Arial" w:hint="default"/>
      </w:rPr>
    </w:lvl>
    <w:lvl w:ilvl="6" w:tplc="DB54BC30" w:tentative="1">
      <w:start w:val="1"/>
      <w:numFmt w:val="bullet"/>
      <w:lvlText w:val="•"/>
      <w:lvlJc w:val="left"/>
      <w:pPr>
        <w:tabs>
          <w:tab w:val="num" w:pos="5040"/>
        </w:tabs>
        <w:ind w:left="5040" w:hanging="360"/>
      </w:pPr>
      <w:rPr>
        <w:rFonts w:ascii="Arial" w:hAnsi="Arial" w:hint="default"/>
      </w:rPr>
    </w:lvl>
    <w:lvl w:ilvl="7" w:tplc="F7F8A4F2" w:tentative="1">
      <w:start w:val="1"/>
      <w:numFmt w:val="bullet"/>
      <w:lvlText w:val="•"/>
      <w:lvlJc w:val="left"/>
      <w:pPr>
        <w:tabs>
          <w:tab w:val="num" w:pos="5760"/>
        </w:tabs>
        <w:ind w:left="5760" w:hanging="360"/>
      </w:pPr>
      <w:rPr>
        <w:rFonts w:ascii="Arial" w:hAnsi="Arial" w:hint="default"/>
      </w:rPr>
    </w:lvl>
    <w:lvl w:ilvl="8" w:tplc="492C72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74374A"/>
    <w:multiLevelType w:val="hybridMultilevel"/>
    <w:tmpl w:val="9BF0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493B6E"/>
    <w:multiLevelType w:val="hybridMultilevel"/>
    <w:tmpl w:val="2F60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18515D"/>
    <w:multiLevelType w:val="hybridMultilevel"/>
    <w:tmpl w:val="5666ED38"/>
    <w:lvl w:ilvl="0" w:tplc="20524398">
      <w:start w:val="1"/>
      <w:numFmt w:val="bullet"/>
      <w:lvlText w:val="•"/>
      <w:lvlJc w:val="left"/>
      <w:pPr>
        <w:tabs>
          <w:tab w:val="num" w:pos="720"/>
        </w:tabs>
        <w:ind w:left="720" w:hanging="360"/>
      </w:pPr>
      <w:rPr>
        <w:rFonts w:ascii="Arial" w:hAnsi="Arial" w:hint="default"/>
      </w:rPr>
    </w:lvl>
    <w:lvl w:ilvl="1" w:tplc="A7E0CD5A">
      <w:start w:val="1"/>
      <w:numFmt w:val="bullet"/>
      <w:lvlText w:val="•"/>
      <w:lvlJc w:val="left"/>
      <w:pPr>
        <w:tabs>
          <w:tab w:val="num" w:pos="1440"/>
        </w:tabs>
        <w:ind w:left="1440" w:hanging="360"/>
      </w:pPr>
      <w:rPr>
        <w:rFonts w:ascii="Arial" w:hAnsi="Arial" w:hint="default"/>
      </w:rPr>
    </w:lvl>
    <w:lvl w:ilvl="2" w:tplc="72A6DFA4" w:tentative="1">
      <w:start w:val="1"/>
      <w:numFmt w:val="bullet"/>
      <w:lvlText w:val="•"/>
      <w:lvlJc w:val="left"/>
      <w:pPr>
        <w:tabs>
          <w:tab w:val="num" w:pos="2160"/>
        </w:tabs>
        <w:ind w:left="2160" w:hanging="360"/>
      </w:pPr>
      <w:rPr>
        <w:rFonts w:ascii="Arial" w:hAnsi="Arial" w:hint="default"/>
      </w:rPr>
    </w:lvl>
    <w:lvl w:ilvl="3" w:tplc="1CC4F556" w:tentative="1">
      <w:start w:val="1"/>
      <w:numFmt w:val="bullet"/>
      <w:lvlText w:val="•"/>
      <w:lvlJc w:val="left"/>
      <w:pPr>
        <w:tabs>
          <w:tab w:val="num" w:pos="2880"/>
        </w:tabs>
        <w:ind w:left="2880" w:hanging="360"/>
      </w:pPr>
      <w:rPr>
        <w:rFonts w:ascii="Arial" w:hAnsi="Arial" w:hint="default"/>
      </w:rPr>
    </w:lvl>
    <w:lvl w:ilvl="4" w:tplc="981AAC26" w:tentative="1">
      <w:start w:val="1"/>
      <w:numFmt w:val="bullet"/>
      <w:lvlText w:val="•"/>
      <w:lvlJc w:val="left"/>
      <w:pPr>
        <w:tabs>
          <w:tab w:val="num" w:pos="3600"/>
        </w:tabs>
        <w:ind w:left="3600" w:hanging="360"/>
      </w:pPr>
      <w:rPr>
        <w:rFonts w:ascii="Arial" w:hAnsi="Arial" w:hint="default"/>
      </w:rPr>
    </w:lvl>
    <w:lvl w:ilvl="5" w:tplc="CF3268A2" w:tentative="1">
      <w:start w:val="1"/>
      <w:numFmt w:val="bullet"/>
      <w:lvlText w:val="•"/>
      <w:lvlJc w:val="left"/>
      <w:pPr>
        <w:tabs>
          <w:tab w:val="num" w:pos="4320"/>
        </w:tabs>
        <w:ind w:left="4320" w:hanging="360"/>
      </w:pPr>
      <w:rPr>
        <w:rFonts w:ascii="Arial" w:hAnsi="Arial" w:hint="default"/>
      </w:rPr>
    </w:lvl>
    <w:lvl w:ilvl="6" w:tplc="A39C3F16" w:tentative="1">
      <w:start w:val="1"/>
      <w:numFmt w:val="bullet"/>
      <w:lvlText w:val="•"/>
      <w:lvlJc w:val="left"/>
      <w:pPr>
        <w:tabs>
          <w:tab w:val="num" w:pos="5040"/>
        </w:tabs>
        <w:ind w:left="5040" w:hanging="360"/>
      </w:pPr>
      <w:rPr>
        <w:rFonts w:ascii="Arial" w:hAnsi="Arial" w:hint="default"/>
      </w:rPr>
    </w:lvl>
    <w:lvl w:ilvl="7" w:tplc="7A8A732C" w:tentative="1">
      <w:start w:val="1"/>
      <w:numFmt w:val="bullet"/>
      <w:lvlText w:val="•"/>
      <w:lvlJc w:val="left"/>
      <w:pPr>
        <w:tabs>
          <w:tab w:val="num" w:pos="5760"/>
        </w:tabs>
        <w:ind w:left="5760" w:hanging="360"/>
      </w:pPr>
      <w:rPr>
        <w:rFonts w:ascii="Arial" w:hAnsi="Arial" w:hint="default"/>
      </w:rPr>
    </w:lvl>
    <w:lvl w:ilvl="8" w:tplc="BC325D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61A31"/>
    <w:rsid w:val="00393341"/>
    <w:rsid w:val="003A6048"/>
    <w:rsid w:val="003C6942"/>
    <w:rsid w:val="003C77A0"/>
    <w:rsid w:val="003D1B38"/>
    <w:rsid w:val="003D7CE1"/>
    <w:rsid w:val="003E6D28"/>
    <w:rsid w:val="004074C6"/>
    <w:rsid w:val="00477B9C"/>
    <w:rsid w:val="00484333"/>
    <w:rsid w:val="00486F4C"/>
    <w:rsid w:val="004E3D83"/>
    <w:rsid w:val="004E5AD3"/>
    <w:rsid w:val="005061BF"/>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E6036"/>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B4660"/>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477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477B9C"/>
    <w:rPr>
      <w:rFonts w:asciiTheme="majorHAnsi" w:eastAsiaTheme="majorEastAsia" w:hAnsiTheme="majorHAnsi" w:cstheme="majorBidi"/>
      <w:color w:val="2F5496" w:themeColor="accent1" w:themeShade="BF"/>
      <w:sz w:val="32"/>
      <w:szCs w:val="32"/>
    </w:rPr>
  </w:style>
  <w:style w:type="paragraph" w:customStyle="1" w:styleId="VCAAHeading4">
    <w:name w:val="VCAA Heading 4"/>
    <w:next w:val="Normal"/>
    <w:qFormat/>
    <w:rsid w:val="00477B9C"/>
    <w:pPr>
      <w:spacing w:before="280" w:after="120" w:line="360" w:lineRule="exact"/>
      <w:outlineLvl w:val="4"/>
    </w:pPr>
    <w:rPr>
      <w:rFonts w:ascii="Arial" w:hAnsi="Arial" w:cs="Arial"/>
      <w:color w:val="0F7EB4"/>
      <w:sz w:val="28"/>
      <w:lang w:val="en" w:eastAsia="en-AU"/>
    </w:rPr>
  </w:style>
  <w:style w:type="paragraph" w:styleId="ListParagraph">
    <w:name w:val="List Paragraph"/>
    <w:basedOn w:val="Normal"/>
    <w:uiPriority w:val="34"/>
    <w:qFormat/>
    <w:rsid w:val="00477B9C"/>
    <w:pPr>
      <w:spacing w:before="0"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schemas.microsoft.com/sharepoint/v3"/>
    <ds:schemaRef ds:uri="http://schemas.microsoft.com/office/2006/documentManagement/types"/>
    <ds:schemaRef ds:uri="1aab662d-a6b2-42d6-996b-a574723d1ad8"/>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C9DA6AD-E56D-4770-803E-463443D3DFC9}"/>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4</cp:revision>
  <dcterms:created xsi:type="dcterms:W3CDTF">2021-10-20T01:56:00Z</dcterms:created>
  <dcterms:modified xsi:type="dcterms:W3CDTF">2021-10-20T02:16:00Z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