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B87273" w14:textId="6FDCFDE2" w:rsidR="00BD575D" w:rsidRPr="00BD575D" w:rsidRDefault="00BD575D" w:rsidP="00BD575D">
      <w:pPr>
        <w:pStyle w:val="VCAADocumenttitle"/>
      </w:pPr>
      <w:r w:rsidRPr="00C37831">
        <w:t xml:space="preserve">Cheating in </w:t>
      </w:r>
      <w:r>
        <w:t xml:space="preserve">the </w:t>
      </w:r>
      <w:r w:rsidRPr="00C37831">
        <w:t>201</w:t>
      </w:r>
      <w:r>
        <w:t>8</w:t>
      </w:r>
      <w:r w:rsidRPr="00C37831">
        <w:t xml:space="preserve"> </w:t>
      </w:r>
      <w:r>
        <w:t>e</w:t>
      </w:r>
      <w:r w:rsidRPr="00C37831">
        <w:t xml:space="preserve">nd of </w:t>
      </w:r>
      <w:r>
        <w:t>y</w:t>
      </w:r>
      <w:r w:rsidRPr="00C37831">
        <w:t>ear</w:t>
      </w:r>
      <w:r>
        <w:t xml:space="preserve"> </w:t>
      </w:r>
      <w:r w:rsidRPr="00C37831">
        <w:t xml:space="preserve">VCE </w:t>
      </w:r>
      <w:r>
        <w:t>e</w:t>
      </w:r>
      <w:r w:rsidRPr="00C37831">
        <w:t>xaminations</w:t>
      </w:r>
    </w:p>
    <w:p w14:paraId="73507DEE" w14:textId="1E5A105D" w:rsidR="00BD575D" w:rsidRPr="00BD575D" w:rsidRDefault="00BD575D" w:rsidP="00BD575D">
      <w:pPr>
        <w:pStyle w:val="VCAAbody"/>
        <w:rPr>
          <w:b/>
        </w:rPr>
      </w:pPr>
      <w:r w:rsidRPr="005E75CB">
        <w:t xml:space="preserve">The VCAA </w:t>
      </w:r>
      <w:r>
        <w:t>is committed to safeguarding the integrity and fairness of VCE external assessment.</w:t>
      </w:r>
    </w:p>
    <w:p w14:paraId="6F124C80" w14:textId="27BE9985" w:rsidR="00BD575D" w:rsidRPr="009852D7" w:rsidRDefault="00BD575D" w:rsidP="00BD575D">
      <w:pPr>
        <w:pStyle w:val="VCAAbody"/>
      </w:pPr>
      <w:r w:rsidRPr="009852D7">
        <w:t xml:space="preserve">Unfortunately a small number of students seek an unfair advantage over the overwhelming majority of honest VCE exam candidates. </w:t>
      </w:r>
    </w:p>
    <w:p w14:paraId="2426DB2E" w14:textId="550EE045" w:rsidR="00BD575D" w:rsidRDefault="00BD575D" w:rsidP="00BD575D">
      <w:pPr>
        <w:pStyle w:val="VCAAbody"/>
      </w:pPr>
      <w:r w:rsidRPr="009852D7">
        <w:t>To ensure the fairness and integrity of VCE examinations, the VCAA has established clear and consistent rules</w:t>
      </w:r>
      <w:r>
        <w:t>,</w:t>
      </w:r>
      <w:r w:rsidRPr="009852D7">
        <w:t xml:space="preserve"> which it rigorously enforces, in conjunction with schools.</w:t>
      </w:r>
    </w:p>
    <w:p w14:paraId="5351B2D2" w14:textId="18538DE6" w:rsidR="00BD575D" w:rsidRDefault="00BD575D" w:rsidP="00BD575D">
      <w:pPr>
        <w:pStyle w:val="VCAAbody"/>
      </w:pPr>
      <w:r w:rsidRPr="009852D7">
        <w:t xml:space="preserve">These rules and </w:t>
      </w:r>
      <w:r>
        <w:t xml:space="preserve">the </w:t>
      </w:r>
      <w:r w:rsidRPr="009852D7">
        <w:t xml:space="preserve">VCAA’s processes for investigating breaches deter and prevent cheating and </w:t>
      </w:r>
      <w:r>
        <w:t>en</w:t>
      </w:r>
      <w:r w:rsidRPr="009852D7">
        <w:t xml:space="preserve">sure that students caught breaking the rules are appropriately </w:t>
      </w:r>
      <w:proofErr w:type="spellStart"/>
      <w:r w:rsidRPr="009852D7">
        <w:t>penalised</w:t>
      </w:r>
      <w:proofErr w:type="spellEnd"/>
      <w:r w:rsidRPr="009852D7">
        <w:t>.</w:t>
      </w:r>
    </w:p>
    <w:p w14:paraId="19C0B154" w14:textId="51ECC3C8" w:rsidR="00BD575D" w:rsidRDefault="00BD575D" w:rsidP="00BD575D">
      <w:pPr>
        <w:pStyle w:val="VCAAbody"/>
      </w:pPr>
      <w:r>
        <w:t xml:space="preserve">These rules also ensure that students doing the right thing are not disadvantaged by the </w:t>
      </w:r>
      <w:proofErr w:type="spellStart"/>
      <w:r>
        <w:t>behaviour</w:t>
      </w:r>
      <w:proofErr w:type="spellEnd"/>
      <w:r>
        <w:t xml:space="preserve"> of other students, whether this involves nuisance, annoyance or interference.</w:t>
      </w:r>
    </w:p>
    <w:p w14:paraId="105F980C" w14:textId="77777777" w:rsidR="00BD575D" w:rsidRPr="009852D7" w:rsidRDefault="00BD575D" w:rsidP="00BD575D">
      <w:pPr>
        <w:pStyle w:val="VCAAbody"/>
      </w:pPr>
      <w:r>
        <w:t xml:space="preserve">The </w:t>
      </w:r>
      <w:r w:rsidRPr="009852D7">
        <w:t xml:space="preserve">VCAA is increasingly able to use analysis of anomalous results to identify possible cases of cheating, which are then investigated. </w:t>
      </w:r>
      <w:r>
        <w:t xml:space="preserve">This </w:t>
      </w:r>
      <w:r w:rsidRPr="009852D7">
        <w:t xml:space="preserve">enhanced capability means that it is harder than ever to get away with cheating in VCE examinations. </w:t>
      </w:r>
    </w:p>
    <w:p w14:paraId="78C5D1F3" w14:textId="6CDE0E63" w:rsidR="00BD575D" w:rsidRPr="00BD575D" w:rsidRDefault="00BD575D" w:rsidP="002140FD">
      <w:pPr>
        <w:pStyle w:val="VCAAHeading3"/>
      </w:pPr>
      <w:r w:rsidRPr="00C37831">
        <w:t>VCE Examination Rules</w:t>
      </w:r>
    </w:p>
    <w:p w14:paraId="48D29098" w14:textId="77777777" w:rsidR="00BD575D" w:rsidRDefault="00BD575D" w:rsidP="00BD575D">
      <w:pPr>
        <w:pStyle w:val="VCAAbody"/>
      </w:pPr>
      <w:r>
        <w:t>The VCAA works closely with schools to ensure students are made aware of and are familiar with the rules for VCE examinations.</w:t>
      </w:r>
    </w:p>
    <w:p w14:paraId="59F4F484" w14:textId="42397405" w:rsidR="00BD575D" w:rsidRDefault="00BD575D" w:rsidP="00BD575D">
      <w:pPr>
        <w:pStyle w:val="VCAAbody"/>
      </w:pPr>
      <w:r>
        <w:t>There are 22 VCAA rules for the conduct of VCE examinations, which are communicated to schools each year.</w:t>
      </w:r>
    </w:p>
    <w:p w14:paraId="52DC347F" w14:textId="5F1B4B97" w:rsidR="00BD575D" w:rsidRDefault="00BD575D" w:rsidP="00BD575D">
      <w:pPr>
        <w:pStyle w:val="VCAAbody"/>
      </w:pPr>
      <w:r>
        <w:t xml:space="preserve">Examination supervisors are trained in the application of the rules and the reporting requirements for any alleged breaches of those rules. </w:t>
      </w:r>
    </w:p>
    <w:p w14:paraId="1EAC770A" w14:textId="5BDD71DB" w:rsidR="00BD575D" w:rsidRDefault="00BD575D" w:rsidP="00BD575D">
      <w:pPr>
        <w:pStyle w:val="VCAAbody"/>
      </w:pPr>
      <w:r>
        <w:t xml:space="preserve">VCE students receive clear advice on VCE examination rules in the </w:t>
      </w:r>
      <w:r w:rsidRPr="007E0303">
        <w:rPr>
          <w:iCs/>
        </w:rPr>
        <w:t>General Achievement Test (GAT)</w:t>
      </w:r>
      <w:r>
        <w:rPr>
          <w:iCs/>
        </w:rPr>
        <w:t xml:space="preserve"> brochure </w:t>
      </w:r>
      <w:r w:rsidRPr="00E35E8D">
        <w:t>and</w:t>
      </w:r>
      <w:r>
        <w:t xml:space="preserve"> the</w:t>
      </w:r>
      <w:r w:rsidRPr="007E0303">
        <w:rPr>
          <w:iCs/>
        </w:rPr>
        <w:t xml:space="preserve"> </w:t>
      </w:r>
      <w:r w:rsidRPr="00E35E8D">
        <w:rPr>
          <w:i/>
          <w:iCs/>
        </w:rPr>
        <w:t>VCE Exams Navigator</w:t>
      </w:r>
      <w:r w:rsidRPr="00E35E8D">
        <w:t xml:space="preserve"> booklet. </w:t>
      </w:r>
      <w:r>
        <w:t xml:space="preserve">The GAT brochure is distributed to schools before the GAT. The </w:t>
      </w:r>
      <w:r>
        <w:rPr>
          <w:i/>
          <w:iCs/>
        </w:rPr>
        <w:t>VCE Exams Navigator</w:t>
      </w:r>
      <w:r>
        <w:t xml:space="preserve"> is distributed to students in Term 3 and is made available on the VCAA website at the same time. </w:t>
      </w:r>
    </w:p>
    <w:p w14:paraId="3CC25D56" w14:textId="08F0D0B4" w:rsidR="00BD575D" w:rsidRPr="00BD575D" w:rsidRDefault="00BD575D" w:rsidP="00B603F0">
      <w:pPr>
        <w:pStyle w:val="VCAAbody"/>
      </w:pPr>
      <w:r>
        <w:t xml:space="preserve">The </w:t>
      </w:r>
      <w:r w:rsidRPr="00F7642C">
        <w:t>VCAA rules</w:t>
      </w:r>
      <w:r>
        <w:t xml:space="preserve"> are also available on the VCAA website and displayed outside all examination rooms.</w:t>
      </w:r>
    </w:p>
    <w:p w14:paraId="6988F3D2" w14:textId="12DC94AF" w:rsidR="00BD575D" w:rsidRDefault="00BD575D" w:rsidP="002140FD">
      <w:pPr>
        <w:pStyle w:val="VCAAHeading3"/>
      </w:pPr>
      <w:r w:rsidRPr="00C37831">
        <w:lastRenderedPageBreak/>
        <w:t>VCAA Review Committees</w:t>
      </w:r>
    </w:p>
    <w:p w14:paraId="27FABF75" w14:textId="69F4A5C9" w:rsidR="00BD575D" w:rsidRDefault="00BD575D" w:rsidP="00BD575D">
      <w:pPr>
        <w:pStyle w:val="VCAAbody"/>
      </w:pPr>
      <w:r>
        <w:t xml:space="preserve">VCAA Review Committees are comprised of three members of the VCAA Board or VCAA staff. They are chaired by a VCAA Board member and are assisted by an experienced lawyer. </w:t>
      </w:r>
    </w:p>
    <w:p w14:paraId="41179CEE" w14:textId="45276AA5" w:rsidR="00BD575D" w:rsidRDefault="00BD575D" w:rsidP="00BD575D">
      <w:pPr>
        <w:pStyle w:val="VCAAbody"/>
      </w:pPr>
      <w:r>
        <w:t xml:space="preserve">VCAA Review Committees determine if a breach of VCE examination rules has occurred and, if so, the appropriate penalty, after hearing all the available evidence, including hearing from the student if the student has elected to attend the hearing. </w:t>
      </w:r>
    </w:p>
    <w:p w14:paraId="1BACDB2B" w14:textId="6647D8B5" w:rsidR="00BD575D" w:rsidRDefault="00BD575D" w:rsidP="00BD575D">
      <w:pPr>
        <w:pStyle w:val="VCAAbody"/>
      </w:pPr>
      <w:r>
        <w:t xml:space="preserve">Review Committees administer penalties that maintain the integrity of the examination system. They ensure that honest students are rewarded for their efforts. </w:t>
      </w:r>
    </w:p>
    <w:p w14:paraId="5160AF73" w14:textId="77777777" w:rsidR="00BD575D" w:rsidRDefault="00BD575D" w:rsidP="00BD575D">
      <w:pPr>
        <w:pStyle w:val="VCAAbody"/>
      </w:pPr>
      <w:r>
        <w:t>Penalties often exceed any possible advantage.</w:t>
      </w:r>
    </w:p>
    <w:p w14:paraId="49E3DB84" w14:textId="11E6E1C6" w:rsidR="00BD575D" w:rsidRPr="00BD575D" w:rsidRDefault="00BD575D" w:rsidP="00B603F0">
      <w:pPr>
        <w:pStyle w:val="VCAAHeading2"/>
      </w:pPr>
      <w:r w:rsidRPr="00F718F4">
        <w:t>Breaches</w:t>
      </w:r>
    </w:p>
    <w:p w14:paraId="715ED7F2" w14:textId="2189DEB9" w:rsidR="00BD575D" w:rsidRDefault="00BD575D" w:rsidP="00B603F0">
      <w:pPr>
        <w:pStyle w:val="VCAAbody"/>
      </w:pPr>
      <w:r w:rsidRPr="00905A95">
        <w:t xml:space="preserve">In </w:t>
      </w:r>
      <w:r>
        <w:t>2018</w:t>
      </w:r>
      <w:r w:rsidRPr="00905A95">
        <w:t xml:space="preserve"> there </w:t>
      </w:r>
      <w:r>
        <w:t xml:space="preserve">were </w:t>
      </w:r>
      <w:r w:rsidRPr="00545E11">
        <w:t>85,069</w:t>
      </w:r>
      <w:r w:rsidRPr="006E1FE9">
        <w:t xml:space="preserve"> </w:t>
      </w:r>
      <w:r w:rsidRPr="00DA76C1">
        <w:t>students</w:t>
      </w:r>
      <w:r w:rsidRPr="00905A95">
        <w:t xml:space="preserve"> who sat at least one end of year VCE exam.</w:t>
      </w:r>
      <w:r w:rsidRPr="00EE0CA4">
        <w:t xml:space="preserve"> </w:t>
      </w:r>
    </w:p>
    <w:p w14:paraId="5E8F651C" w14:textId="77777777" w:rsidR="00BD575D" w:rsidRPr="00EE0CA4" w:rsidRDefault="00BD575D" w:rsidP="00B603F0">
      <w:pPr>
        <w:pStyle w:val="VCAAbody"/>
      </w:pPr>
      <w:r>
        <w:t>Some</w:t>
      </w:r>
      <w:r w:rsidRPr="006E1FE9">
        <w:t xml:space="preserve"> 52</w:t>
      </w:r>
      <w:r>
        <w:t xml:space="preserve">,360 </w:t>
      </w:r>
      <w:r w:rsidRPr="00EE0CA4">
        <w:t xml:space="preserve">students were eligible to complete their VCE and there were </w:t>
      </w:r>
      <w:r w:rsidRPr="006E1FE9">
        <w:t>109</w:t>
      </w:r>
      <w:r w:rsidRPr="00EE0CA4">
        <w:t xml:space="preserve"> subjects with a written exam. </w:t>
      </w:r>
    </w:p>
    <w:p w14:paraId="7105588D" w14:textId="77777777" w:rsidR="00BD575D" w:rsidRDefault="00BD575D" w:rsidP="00B603F0">
      <w:pPr>
        <w:pStyle w:val="VCAAbody"/>
      </w:pPr>
      <w:r w:rsidRPr="00EE0CA4">
        <w:t>The VCAA investigated</w:t>
      </w:r>
      <w:r>
        <w:t xml:space="preserve"> alleged contraventions of the VCAA examination rules by 61 students arising from the 2018 end of year VCE examinations.</w:t>
      </w:r>
      <w:r w:rsidRPr="00EE0CA4">
        <w:t xml:space="preserve"> </w:t>
      </w:r>
    </w:p>
    <w:p w14:paraId="5AF5A5FC" w14:textId="5898C3D9" w:rsidR="00BD575D" w:rsidRDefault="00BD575D" w:rsidP="00B603F0">
      <w:pPr>
        <w:pStyle w:val="VCAAbody"/>
      </w:pPr>
      <w:r w:rsidRPr="006714F5">
        <w:t>The comparable</w:t>
      </w:r>
      <w:r>
        <w:t xml:space="preserve"> figures in previous years are shown in the table below.</w:t>
      </w:r>
      <w:r w:rsidR="00B603F0">
        <w:br/>
      </w:r>
    </w:p>
    <w:tbl>
      <w:tblPr>
        <w:tblStyle w:val="VCAATableClosed"/>
        <w:tblW w:w="0" w:type="auto"/>
        <w:tblLook w:val="04A0" w:firstRow="1" w:lastRow="0" w:firstColumn="1" w:lastColumn="0" w:noHBand="0" w:noVBand="1"/>
      </w:tblPr>
      <w:tblGrid>
        <w:gridCol w:w="2552"/>
        <w:gridCol w:w="3685"/>
      </w:tblGrid>
      <w:tr w:rsidR="00BD575D" w14:paraId="03E98A9E" w14:textId="77777777" w:rsidTr="00BD575D">
        <w:trPr>
          <w:cnfStyle w:val="100000000000" w:firstRow="1" w:lastRow="0" w:firstColumn="0" w:lastColumn="0" w:oddVBand="0" w:evenVBand="0" w:oddHBand="0" w:evenHBand="0" w:firstRowFirstColumn="0" w:firstRowLastColumn="0" w:lastRowFirstColumn="0" w:lastRowLastColumn="0"/>
        </w:trPr>
        <w:tc>
          <w:tcPr>
            <w:tcW w:w="2552" w:type="dxa"/>
          </w:tcPr>
          <w:p w14:paraId="64DD4B33" w14:textId="77777777" w:rsidR="00BD575D" w:rsidRPr="00E34183" w:rsidRDefault="00BD575D" w:rsidP="00055499">
            <w:pPr>
              <w:pStyle w:val="VCAAtableheading"/>
              <w:rPr>
                <w:b/>
                <w:color w:val="auto"/>
              </w:rPr>
            </w:pPr>
            <w:r w:rsidRPr="00E34183">
              <w:rPr>
                <w:b/>
                <w:color w:val="auto"/>
              </w:rPr>
              <w:t>Year</w:t>
            </w:r>
          </w:p>
        </w:tc>
        <w:tc>
          <w:tcPr>
            <w:tcW w:w="3685" w:type="dxa"/>
          </w:tcPr>
          <w:p w14:paraId="189AC0F7" w14:textId="77777777" w:rsidR="00BD575D" w:rsidRPr="00E34183" w:rsidRDefault="00BD575D" w:rsidP="00055499">
            <w:pPr>
              <w:pStyle w:val="VCAAtableheading"/>
              <w:rPr>
                <w:b/>
                <w:color w:val="auto"/>
              </w:rPr>
            </w:pPr>
            <w:r w:rsidRPr="00E34183">
              <w:rPr>
                <w:b/>
                <w:color w:val="auto"/>
              </w:rPr>
              <w:t>Number of investigations</w:t>
            </w:r>
          </w:p>
        </w:tc>
      </w:tr>
      <w:tr w:rsidR="00BD575D" w14:paraId="61C21C26" w14:textId="77777777" w:rsidTr="00BD575D">
        <w:tc>
          <w:tcPr>
            <w:tcW w:w="2552" w:type="dxa"/>
          </w:tcPr>
          <w:p w14:paraId="31777C6E" w14:textId="77777777" w:rsidR="00BD575D" w:rsidRPr="00636352" w:rsidRDefault="00BD575D" w:rsidP="00E34183">
            <w:pPr>
              <w:pStyle w:val="VCAAtablecondensed"/>
            </w:pPr>
            <w:r w:rsidRPr="00636352">
              <w:t>2012</w:t>
            </w:r>
          </w:p>
        </w:tc>
        <w:tc>
          <w:tcPr>
            <w:tcW w:w="3685" w:type="dxa"/>
          </w:tcPr>
          <w:p w14:paraId="4FED682B" w14:textId="77777777" w:rsidR="00BD575D" w:rsidRPr="00636352" w:rsidRDefault="00BD575D" w:rsidP="00E34183">
            <w:pPr>
              <w:pStyle w:val="VCAAtablecondensed"/>
            </w:pPr>
            <w:r>
              <w:t>78</w:t>
            </w:r>
          </w:p>
        </w:tc>
      </w:tr>
      <w:tr w:rsidR="00BD575D" w14:paraId="6F022480" w14:textId="77777777" w:rsidTr="00BD575D">
        <w:tc>
          <w:tcPr>
            <w:tcW w:w="2552" w:type="dxa"/>
          </w:tcPr>
          <w:p w14:paraId="6EBED889" w14:textId="77777777" w:rsidR="00BD575D" w:rsidRPr="00636352" w:rsidRDefault="00BD575D" w:rsidP="00E34183">
            <w:pPr>
              <w:pStyle w:val="VCAAtablecondensed"/>
            </w:pPr>
            <w:r w:rsidRPr="00636352">
              <w:t>2013</w:t>
            </w:r>
          </w:p>
        </w:tc>
        <w:tc>
          <w:tcPr>
            <w:tcW w:w="3685" w:type="dxa"/>
          </w:tcPr>
          <w:p w14:paraId="2A85EDD7" w14:textId="77777777" w:rsidR="00BD575D" w:rsidRPr="00636352" w:rsidRDefault="00BD575D" w:rsidP="00E34183">
            <w:pPr>
              <w:pStyle w:val="VCAAtablecondensed"/>
            </w:pPr>
            <w:r>
              <w:t>54</w:t>
            </w:r>
          </w:p>
        </w:tc>
      </w:tr>
      <w:tr w:rsidR="00BD575D" w14:paraId="549830E3" w14:textId="77777777" w:rsidTr="00BD575D">
        <w:tc>
          <w:tcPr>
            <w:tcW w:w="2552" w:type="dxa"/>
          </w:tcPr>
          <w:p w14:paraId="403F22B5" w14:textId="77777777" w:rsidR="00BD575D" w:rsidRPr="00636352" w:rsidRDefault="00BD575D" w:rsidP="00E34183">
            <w:pPr>
              <w:pStyle w:val="VCAAtablecondensed"/>
            </w:pPr>
            <w:r w:rsidRPr="00636352">
              <w:t>2014</w:t>
            </w:r>
          </w:p>
        </w:tc>
        <w:tc>
          <w:tcPr>
            <w:tcW w:w="3685" w:type="dxa"/>
          </w:tcPr>
          <w:p w14:paraId="51235C49" w14:textId="77777777" w:rsidR="00BD575D" w:rsidRPr="00636352" w:rsidRDefault="00BD575D" w:rsidP="00E34183">
            <w:pPr>
              <w:pStyle w:val="VCAAtablecondensed"/>
            </w:pPr>
            <w:r>
              <w:t>38</w:t>
            </w:r>
          </w:p>
        </w:tc>
      </w:tr>
      <w:tr w:rsidR="00BD575D" w14:paraId="14AF4C99" w14:textId="77777777" w:rsidTr="00BD575D">
        <w:tc>
          <w:tcPr>
            <w:tcW w:w="2552" w:type="dxa"/>
          </w:tcPr>
          <w:p w14:paraId="6D986288" w14:textId="77777777" w:rsidR="00BD575D" w:rsidRPr="00636352" w:rsidRDefault="00BD575D" w:rsidP="00E34183">
            <w:pPr>
              <w:pStyle w:val="VCAAtablecondensed"/>
            </w:pPr>
            <w:r w:rsidRPr="00636352">
              <w:t>2015</w:t>
            </w:r>
          </w:p>
        </w:tc>
        <w:tc>
          <w:tcPr>
            <w:tcW w:w="3685" w:type="dxa"/>
          </w:tcPr>
          <w:p w14:paraId="0A08F518" w14:textId="77777777" w:rsidR="00BD575D" w:rsidRPr="00636352" w:rsidRDefault="00BD575D" w:rsidP="00E34183">
            <w:pPr>
              <w:pStyle w:val="VCAAtablecondensed"/>
            </w:pPr>
            <w:r>
              <w:t>65</w:t>
            </w:r>
          </w:p>
        </w:tc>
      </w:tr>
      <w:tr w:rsidR="00BD575D" w14:paraId="0FBC4BF5" w14:textId="77777777" w:rsidTr="00BD575D">
        <w:tc>
          <w:tcPr>
            <w:tcW w:w="2552" w:type="dxa"/>
          </w:tcPr>
          <w:p w14:paraId="241A49DF" w14:textId="77777777" w:rsidR="00BD575D" w:rsidRPr="00636352" w:rsidRDefault="00BD575D" w:rsidP="00E34183">
            <w:pPr>
              <w:pStyle w:val="VCAAtablecondensed"/>
            </w:pPr>
            <w:r w:rsidRPr="00636352">
              <w:t>2016</w:t>
            </w:r>
          </w:p>
        </w:tc>
        <w:tc>
          <w:tcPr>
            <w:tcW w:w="3685" w:type="dxa"/>
          </w:tcPr>
          <w:p w14:paraId="1F90C402" w14:textId="77777777" w:rsidR="00BD575D" w:rsidRPr="00636352" w:rsidRDefault="00BD575D" w:rsidP="00E34183">
            <w:pPr>
              <w:pStyle w:val="VCAAtablecondensed"/>
            </w:pPr>
            <w:r>
              <w:t>68</w:t>
            </w:r>
          </w:p>
        </w:tc>
      </w:tr>
      <w:tr w:rsidR="00BD575D" w14:paraId="39FE30E5" w14:textId="77777777" w:rsidTr="00BD575D">
        <w:tc>
          <w:tcPr>
            <w:tcW w:w="2552" w:type="dxa"/>
          </w:tcPr>
          <w:p w14:paraId="45BAB791" w14:textId="77777777" w:rsidR="00BD575D" w:rsidRPr="00636352" w:rsidRDefault="00BD575D" w:rsidP="00E34183">
            <w:pPr>
              <w:pStyle w:val="VCAAtablecondensed"/>
            </w:pPr>
            <w:r>
              <w:t>2017</w:t>
            </w:r>
          </w:p>
        </w:tc>
        <w:tc>
          <w:tcPr>
            <w:tcW w:w="3685" w:type="dxa"/>
          </w:tcPr>
          <w:p w14:paraId="27210D0B" w14:textId="77777777" w:rsidR="00BD575D" w:rsidRPr="00636352" w:rsidRDefault="00BD575D" w:rsidP="00E34183">
            <w:pPr>
              <w:pStyle w:val="VCAAtablecondensed"/>
            </w:pPr>
            <w:r>
              <w:t>86</w:t>
            </w:r>
          </w:p>
        </w:tc>
      </w:tr>
    </w:tbl>
    <w:p w14:paraId="1754524A" w14:textId="1B9A5C23" w:rsidR="00BD575D" w:rsidRPr="008E3BBE" w:rsidRDefault="00B603F0" w:rsidP="00B603F0">
      <w:pPr>
        <w:pStyle w:val="VCAAbody"/>
      </w:pPr>
      <w:r>
        <w:rPr>
          <w:b/>
        </w:rPr>
        <w:br/>
      </w:r>
      <w:r w:rsidR="00BD575D" w:rsidRPr="00B603F0">
        <w:t>The types of alleged breaches that were reported in 2018 are shown in the table below.</w:t>
      </w:r>
      <w:r>
        <w:br/>
      </w:r>
    </w:p>
    <w:tbl>
      <w:tblPr>
        <w:tblStyle w:val="VCAATableClosed"/>
        <w:tblW w:w="0" w:type="auto"/>
        <w:tblLook w:val="04A0" w:firstRow="1" w:lastRow="0" w:firstColumn="1" w:lastColumn="0" w:noHBand="0" w:noVBand="1"/>
      </w:tblPr>
      <w:tblGrid>
        <w:gridCol w:w="6204"/>
        <w:gridCol w:w="1275"/>
        <w:gridCol w:w="1560"/>
      </w:tblGrid>
      <w:tr w:rsidR="00055499" w:rsidRPr="00055499" w14:paraId="326FE785" w14:textId="77777777" w:rsidTr="00BD575D">
        <w:trPr>
          <w:cnfStyle w:val="100000000000" w:firstRow="1" w:lastRow="0" w:firstColumn="0" w:lastColumn="0" w:oddVBand="0" w:evenVBand="0" w:oddHBand="0" w:evenHBand="0" w:firstRowFirstColumn="0" w:firstRowLastColumn="0" w:lastRowFirstColumn="0" w:lastRowLastColumn="0"/>
        </w:trPr>
        <w:tc>
          <w:tcPr>
            <w:tcW w:w="6204" w:type="dxa"/>
          </w:tcPr>
          <w:p w14:paraId="18E5A273" w14:textId="77777777" w:rsidR="00BD575D" w:rsidRPr="00055499" w:rsidRDefault="00BD575D" w:rsidP="00055499">
            <w:pPr>
              <w:pStyle w:val="VCAAtableheading"/>
              <w:rPr>
                <w:b/>
                <w:bCs/>
                <w:color w:val="auto"/>
              </w:rPr>
            </w:pPr>
            <w:r w:rsidRPr="00055499">
              <w:rPr>
                <w:b/>
                <w:color w:val="auto"/>
              </w:rPr>
              <w:t>Reported incident type</w:t>
            </w:r>
          </w:p>
        </w:tc>
        <w:tc>
          <w:tcPr>
            <w:tcW w:w="1275" w:type="dxa"/>
          </w:tcPr>
          <w:p w14:paraId="3C95C6C8" w14:textId="77777777" w:rsidR="00BD575D" w:rsidRPr="00055499" w:rsidRDefault="00BD575D" w:rsidP="00055499">
            <w:pPr>
              <w:pStyle w:val="VCAAtableheading"/>
              <w:rPr>
                <w:b/>
                <w:bCs/>
                <w:color w:val="auto"/>
              </w:rPr>
            </w:pPr>
            <w:r w:rsidRPr="00055499">
              <w:rPr>
                <w:b/>
                <w:bCs/>
                <w:color w:val="auto"/>
              </w:rPr>
              <w:t>Number</w:t>
            </w:r>
          </w:p>
        </w:tc>
        <w:tc>
          <w:tcPr>
            <w:tcW w:w="1560" w:type="dxa"/>
          </w:tcPr>
          <w:p w14:paraId="58F7B88D" w14:textId="77777777" w:rsidR="00BD575D" w:rsidRPr="00055499" w:rsidRDefault="00BD575D" w:rsidP="00055499">
            <w:pPr>
              <w:pStyle w:val="VCAAtableheading"/>
              <w:rPr>
                <w:b/>
                <w:bCs/>
                <w:color w:val="auto"/>
              </w:rPr>
            </w:pPr>
            <w:r w:rsidRPr="00055499">
              <w:rPr>
                <w:b/>
                <w:bCs/>
                <w:color w:val="auto"/>
              </w:rPr>
              <w:t>Percentage</w:t>
            </w:r>
          </w:p>
        </w:tc>
      </w:tr>
      <w:tr w:rsidR="00BD575D" w14:paraId="4710BA7F" w14:textId="77777777" w:rsidTr="00BD575D">
        <w:tc>
          <w:tcPr>
            <w:tcW w:w="6204" w:type="dxa"/>
          </w:tcPr>
          <w:p w14:paraId="0A119B2F" w14:textId="77777777" w:rsidR="00BD575D" w:rsidRDefault="00BD575D" w:rsidP="00E34183">
            <w:pPr>
              <w:pStyle w:val="VCAAtablecondensed"/>
              <w:rPr>
                <w:b/>
                <w:bCs/>
              </w:rPr>
            </w:pPr>
            <w:r w:rsidRPr="00D50208">
              <w:t>Attempted to cheat</w:t>
            </w:r>
            <w:r>
              <w:t xml:space="preserve"> by copying</w:t>
            </w:r>
            <w:r w:rsidRPr="00D50208">
              <w:t xml:space="preserve"> (including alleged allowing copying)</w:t>
            </w:r>
          </w:p>
        </w:tc>
        <w:tc>
          <w:tcPr>
            <w:tcW w:w="1275" w:type="dxa"/>
          </w:tcPr>
          <w:p w14:paraId="607B0096" w14:textId="77777777" w:rsidR="00BD575D" w:rsidRPr="00100AF5" w:rsidRDefault="00BD575D" w:rsidP="00E34183">
            <w:pPr>
              <w:pStyle w:val="VCAAtablecondensed"/>
              <w:rPr>
                <w:bCs/>
              </w:rPr>
            </w:pPr>
            <w:r>
              <w:rPr>
                <w:bCs/>
              </w:rPr>
              <w:t>18</w:t>
            </w:r>
          </w:p>
        </w:tc>
        <w:tc>
          <w:tcPr>
            <w:tcW w:w="1560" w:type="dxa"/>
          </w:tcPr>
          <w:p w14:paraId="69D26244" w14:textId="77777777" w:rsidR="00BD575D" w:rsidRPr="00100AF5" w:rsidRDefault="00BD575D" w:rsidP="00E34183">
            <w:pPr>
              <w:pStyle w:val="VCAAtablecondensed"/>
              <w:rPr>
                <w:bCs/>
              </w:rPr>
            </w:pPr>
            <w:r>
              <w:rPr>
                <w:bCs/>
              </w:rPr>
              <w:t>28.6</w:t>
            </w:r>
          </w:p>
        </w:tc>
      </w:tr>
      <w:tr w:rsidR="00BD575D" w14:paraId="4C15104B" w14:textId="77777777" w:rsidTr="00BD575D">
        <w:tc>
          <w:tcPr>
            <w:tcW w:w="6204" w:type="dxa"/>
          </w:tcPr>
          <w:p w14:paraId="67CF7446" w14:textId="77777777" w:rsidR="00BD575D" w:rsidRDefault="00BD575D" w:rsidP="00E34183">
            <w:pPr>
              <w:pStyle w:val="VCAAtablecondensed"/>
              <w:rPr>
                <w:b/>
                <w:bCs/>
              </w:rPr>
            </w:pPr>
            <w:r w:rsidRPr="00D50208">
              <w:t>Mobile phone in examination</w:t>
            </w:r>
          </w:p>
        </w:tc>
        <w:tc>
          <w:tcPr>
            <w:tcW w:w="1275" w:type="dxa"/>
          </w:tcPr>
          <w:p w14:paraId="1CAC8EFA" w14:textId="77777777" w:rsidR="00BD575D" w:rsidRPr="00100AF5" w:rsidRDefault="00BD575D" w:rsidP="00E34183">
            <w:pPr>
              <w:pStyle w:val="VCAAtablecondensed"/>
              <w:rPr>
                <w:bCs/>
              </w:rPr>
            </w:pPr>
            <w:r>
              <w:rPr>
                <w:bCs/>
              </w:rPr>
              <w:t>12</w:t>
            </w:r>
          </w:p>
        </w:tc>
        <w:tc>
          <w:tcPr>
            <w:tcW w:w="1560" w:type="dxa"/>
          </w:tcPr>
          <w:p w14:paraId="22F5D5BA" w14:textId="77777777" w:rsidR="00BD575D" w:rsidRPr="00100AF5" w:rsidRDefault="00BD575D" w:rsidP="00E34183">
            <w:pPr>
              <w:pStyle w:val="VCAAtablecondensed"/>
              <w:rPr>
                <w:bCs/>
              </w:rPr>
            </w:pPr>
            <w:r>
              <w:rPr>
                <w:bCs/>
              </w:rPr>
              <w:t>19</w:t>
            </w:r>
          </w:p>
        </w:tc>
      </w:tr>
      <w:tr w:rsidR="00BD575D" w14:paraId="15FD8A9C" w14:textId="77777777" w:rsidTr="00BD575D">
        <w:tc>
          <w:tcPr>
            <w:tcW w:w="6204" w:type="dxa"/>
          </w:tcPr>
          <w:p w14:paraId="5F1EF146" w14:textId="77777777" w:rsidR="00BD575D" w:rsidRPr="00D50208" w:rsidRDefault="00BD575D" w:rsidP="00E34183">
            <w:pPr>
              <w:pStyle w:val="VCAAtablecondensed"/>
            </w:pPr>
            <w:r w:rsidRPr="00D50208">
              <w:t>Did not cease writing</w:t>
            </w:r>
            <w:r>
              <w:t xml:space="preserve"> when time elapsed</w:t>
            </w:r>
          </w:p>
        </w:tc>
        <w:tc>
          <w:tcPr>
            <w:tcW w:w="1275" w:type="dxa"/>
          </w:tcPr>
          <w:p w14:paraId="411AF713" w14:textId="77777777" w:rsidR="00BD575D" w:rsidRPr="00100AF5" w:rsidRDefault="00BD575D" w:rsidP="00E34183">
            <w:pPr>
              <w:pStyle w:val="VCAAtablecondensed"/>
              <w:rPr>
                <w:bCs/>
              </w:rPr>
            </w:pPr>
            <w:r>
              <w:rPr>
                <w:bCs/>
              </w:rPr>
              <w:t>17</w:t>
            </w:r>
          </w:p>
        </w:tc>
        <w:tc>
          <w:tcPr>
            <w:tcW w:w="1560" w:type="dxa"/>
          </w:tcPr>
          <w:p w14:paraId="42857C47" w14:textId="77777777" w:rsidR="00BD575D" w:rsidRPr="00100AF5" w:rsidRDefault="00BD575D" w:rsidP="00E34183">
            <w:pPr>
              <w:pStyle w:val="VCAAtablecondensed"/>
              <w:rPr>
                <w:bCs/>
              </w:rPr>
            </w:pPr>
            <w:r>
              <w:rPr>
                <w:bCs/>
              </w:rPr>
              <w:t>27</w:t>
            </w:r>
          </w:p>
        </w:tc>
      </w:tr>
      <w:tr w:rsidR="00BD575D" w14:paraId="221CC9C1" w14:textId="77777777" w:rsidTr="00BD575D">
        <w:tc>
          <w:tcPr>
            <w:tcW w:w="6204" w:type="dxa"/>
          </w:tcPr>
          <w:p w14:paraId="3ABB3BD8" w14:textId="77777777" w:rsidR="00BD575D" w:rsidRDefault="00BD575D" w:rsidP="00E34183">
            <w:pPr>
              <w:pStyle w:val="VCAAtablecondensed"/>
              <w:rPr>
                <w:b/>
                <w:bCs/>
              </w:rPr>
            </w:pPr>
            <w:proofErr w:type="spellStart"/>
            <w:r>
              <w:t>Unauthorised</w:t>
            </w:r>
            <w:proofErr w:type="spellEnd"/>
            <w:r>
              <w:t xml:space="preserve"> material (including notes)</w:t>
            </w:r>
          </w:p>
        </w:tc>
        <w:tc>
          <w:tcPr>
            <w:tcW w:w="1275" w:type="dxa"/>
          </w:tcPr>
          <w:p w14:paraId="3BF397A6" w14:textId="77777777" w:rsidR="00BD575D" w:rsidRPr="00100AF5" w:rsidRDefault="00BD575D" w:rsidP="00E34183">
            <w:pPr>
              <w:pStyle w:val="VCAAtablecondensed"/>
              <w:rPr>
                <w:bCs/>
              </w:rPr>
            </w:pPr>
            <w:r>
              <w:rPr>
                <w:bCs/>
              </w:rPr>
              <w:t>15</w:t>
            </w:r>
          </w:p>
        </w:tc>
        <w:tc>
          <w:tcPr>
            <w:tcW w:w="1560" w:type="dxa"/>
          </w:tcPr>
          <w:p w14:paraId="0B0D8E67" w14:textId="77777777" w:rsidR="00BD575D" w:rsidRPr="00100AF5" w:rsidRDefault="00BD575D" w:rsidP="00E34183">
            <w:pPr>
              <w:pStyle w:val="VCAAtablecondensed"/>
              <w:rPr>
                <w:bCs/>
              </w:rPr>
            </w:pPr>
            <w:r>
              <w:rPr>
                <w:bCs/>
              </w:rPr>
              <w:t>23.8</w:t>
            </w:r>
          </w:p>
        </w:tc>
      </w:tr>
      <w:tr w:rsidR="00BD575D" w14:paraId="62A8AEAD" w14:textId="77777777" w:rsidTr="00BD575D">
        <w:tc>
          <w:tcPr>
            <w:tcW w:w="6204" w:type="dxa"/>
          </w:tcPr>
          <w:p w14:paraId="4574BDC4" w14:textId="77777777" w:rsidR="00BD575D" w:rsidRPr="00D50208" w:rsidRDefault="00BD575D" w:rsidP="00E34183">
            <w:pPr>
              <w:pStyle w:val="VCAAtablecondensed"/>
            </w:pPr>
            <w:r w:rsidRPr="00D50208">
              <w:t>Began writing or using calculator before instructed</w:t>
            </w:r>
          </w:p>
        </w:tc>
        <w:tc>
          <w:tcPr>
            <w:tcW w:w="1275" w:type="dxa"/>
          </w:tcPr>
          <w:p w14:paraId="2AA0DB13" w14:textId="77777777" w:rsidR="00BD575D" w:rsidRPr="00100AF5" w:rsidRDefault="00BD575D" w:rsidP="00E34183">
            <w:pPr>
              <w:pStyle w:val="VCAAtablecondensed"/>
              <w:rPr>
                <w:bCs/>
              </w:rPr>
            </w:pPr>
            <w:r>
              <w:rPr>
                <w:bCs/>
              </w:rPr>
              <w:t>1</w:t>
            </w:r>
          </w:p>
        </w:tc>
        <w:tc>
          <w:tcPr>
            <w:tcW w:w="1560" w:type="dxa"/>
          </w:tcPr>
          <w:p w14:paraId="78013DB1" w14:textId="77777777" w:rsidR="00BD575D" w:rsidRPr="00100AF5" w:rsidRDefault="00BD575D" w:rsidP="00E34183">
            <w:pPr>
              <w:pStyle w:val="VCAAtablecondensed"/>
              <w:rPr>
                <w:bCs/>
              </w:rPr>
            </w:pPr>
            <w:r>
              <w:rPr>
                <w:bCs/>
              </w:rPr>
              <w:t>1.6</w:t>
            </w:r>
          </w:p>
        </w:tc>
      </w:tr>
    </w:tbl>
    <w:p w14:paraId="4B6D13FC" w14:textId="77777777" w:rsidR="00B603F0" w:rsidRPr="008E3BBE" w:rsidRDefault="00B603F0" w:rsidP="00B603F0">
      <w:pPr>
        <w:pStyle w:val="VCAAHeading2"/>
      </w:pPr>
      <w:r w:rsidRPr="008E3BBE">
        <w:t>Mobile phones</w:t>
      </w:r>
    </w:p>
    <w:p w14:paraId="6C0D406B" w14:textId="77777777" w:rsidR="00B603F0" w:rsidRDefault="00B603F0" w:rsidP="00E34183">
      <w:pPr>
        <w:pStyle w:val="VCAAbody"/>
      </w:pPr>
      <w:r>
        <w:t>Figures for alleged incidents involving mobile phones in previous years are shown in the table below.</w:t>
      </w:r>
    </w:p>
    <w:tbl>
      <w:tblPr>
        <w:tblStyle w:val="VCAATableClosed"/>
        <w:tblW w:w="0" w:type="auto"/>
        <w:tblLook w:val="04A0" w:firstRow="1" w:lastRow="0" w:firstColumn="1" w:lastColumn="0" w:noHBand="0" w:noVBand="1"/>
      </w:tblPr>
      <w:tblGrid>
        <w:gridCol w:w="2518"/>
        <w:gridCol w:w="3686"/>
      </w:tblGrid>
      <w:tr w:rsidR="00B603F0" w:rsidRPr="00B603F0" w14:paraId="183CCB31" w14:textId="77777777" w:rsidTr="00B603F0">
        <w:trPr>
          <w:cnfStyle w:val="100000000000" w:firstRow="1" w:lastRow="0" w:firstColumn="0" w:lastColumn="0" w:oddVBand="0" w:evenVBand="0" w:oddHBand="0" w:evenHBand="0" w:firstRowFirstColumn="0" w:firstRowLastColumn="0" w:lastRowFirstColumn="0" w:lastRowLastColumn="0"/>
        </w:trPr>
        <w:tc>
          <w:tcPr>
            <w:tcW w:w="2518" w:type="dxa"/>
          </w:tcPr>
          <w:p w14:paraId="07BA7600" w14:textId="77777777" w:rsidR="00B603F0" w:rsidRPr="00B603F0" w:rsidRDefault="00B603F0" w:rsidP="00711A31">
            <w:pPr>
              <w:pStyle w:val="VCAAtableheading"/>
              <w:rPr>
                <w:b/>
                <w:color w:val="auto"/>
                <w:lang w:eastAsia="en-AU"/>
              </w:rPr>
            </w:pPr>
            <w:r w:rsidRPr="00B603F0">
              <w:rPr>
                <w:b/>
                <w:color w:val="auto"/>
                <w:lang w:eastAsia="en-AU"/>
              </w:rPr>
              <w:t>Year</w:t>
            </w:r>
          </w:p>
        </w:tc>
        <w:tc>
          <w:tcPr>
            <w:tcW w:w="3686" w:type="dxa"/>
          </w:tcPr>
          <w:p w14:paraId="174DA197" w14:textId="77777777" w:rsidR="00B603F0" w:rsidRPr="00B603F0" w:rsidRDefault="00B603F0" w:rsidP="00711A31">
            <w:pPr>
              <w:pStyle w:val="VCAAtableheading"/>
              <w:rPr>
                <w:b/>
                <w:color w:val="auto"/>
                <w:lang w:eastAsia="en-AU"/>
              </w:rPr>
            </w:pPr>
            <w:r w:rsidRPr="00B603F0">
              <w:rPr>
                <w:b/>
                <w:color w:val="auto"/>
                <w:lang w:eastAsia="en-AU"/>
              </w:rPr>
              <w:t>VCE examination incidents involving a mobile phone</w:t>
            </w:r>
          </w:p>
        </w:tc>
      </w:tr>
      <w:tr w:rsidR="00B603F0" w:rsidRPr="00B603F0" w14:paraId="498509B5" w14:textId="77777777" w:rsidTr="00B603F0">
        <w:tc>
          <w:tcPr>
            <w:tcW w:w="2518" w:type="dxa"/>
          </w:tcPr>
          <w:p w14:paraId="6F4BC627" w14:textId="77777777" w:rsidR="00B603F0" w:rsidRPr="00B603F0" w:rsidRDefault="00B603F0" w:rsidP="00711A31">
            <w:pPr>
              <w:pStyle w:val="VCAAtablecondensed"/>
            </w:pPr>
            <w:r w:rsidRPr="00B603F0">
              <w:t>2013</w:t>
            </w:r>
          </w:p>
        </w:tc>
        <w:tc>
          <w:tcPr>
            <w:tcW w:w="3686" w:type="dxa"/>
          </w:tcPr>
          <w:p w14:paraId="48FDBE94" w14:textId="77777777" w:rsidR="00B603F0" w:rsidRPr="00B603F0" w:rsidRDefault="00B603F0" w:rsidP="00711A31">
            <w:pPr>
              <w:pStyle w:val="VCAAtablecondensed"/>
            </w:pPr>
            <w:r w:rsidRPr="00B603F0">
              <w:t>15</w:t>
            </w:r>
          </w:p>
        </w:tc>
      </w:tr>
      <w:tr w:rsidR="00B603F0" w:rsidRPr="00B603F0" w14:paraId="07A84D16" w14:textId="77777777" w:rsidTr="00B603F0">
        <w:tc>
          <w:tcPr>
            <w:tcW w:w="2518" w:type="dxa"/>
          </w:tcPr>
          <w:p w14:paraId="0FD24BB5" w14:textId="77777777" w:rsidR="00B603F0" w:rsidRPr="00B603F0" w:rsidRDefault="00B603F0" w:rsidP="00711A31">
            <w:pPr>
              <w:pStyle w:val="VCAAtablecondensed"/>
            </w:pPr>
            <w:r w:rsidRPr="00B603F0">
              <w:t>2014</w:t>
            </w:r>
          </w:p>
        </w:tc>
        <w:tc>
          <w:tcPr>
            <w:tcW w:w="3686" w:type="dxa"/>
          </w:tcPr>
          <w:p w14:paraId="11AF2843" w14:textId="77777777" w:rsidR="00B603F0" w:rsidRPr="00B603F0" w:rsidRDefault="00B603F0" w:rsidP="00711A31">
            <w:pPr>
              <w:pStyle w:val="VCAAtablecondensed"/>
            </w:pPr>
            <w:r w:rsidRPr="00B603F0">
              <w:t>9</w:t>
            </w:r>
          </w:p>
        </w:tc>
      </w:tr>
      <w:tr w:rsidR="00B603F0" w:rsidRPr="00B603F0" w14:paraId="0A2F445B" w14:textId="77777777" w:rsidTr="00B603F0">
        <w:tc>
          <w:tcPr>
            <w:tcW w:w="2518" w:type="dxa"/>
          </w:tcPr>
          <w:p w14:paraId="5EA2080D" w14:textId="77777777" w:rsidR="00B603F0" w:rsidRPr="00B603F0" w:rsidRDefault="00B603F0" w:rsidP="00711A31">
            <w:pPr>
              <w:pStyle w:val="VCAAtablecondensed"/>
            </w:pPr>
            <w:r w:rsidRPr="00B603F0">
              <w:t>2015</w:t>
            </w:r>
          </w:p>
        </w:tc>
        <w:tc>
          <w:tcPr>
            <w:tcW w:w="3686" w:type="dxa"/>
          </w:tcPr>
          <w:p w14:paraId="091BCA5F" w14:textId="77777777" w:rsidR="00B603F0" w:rsidRPr="00B603F0" w:rsidRDefault="00B603F0" w:rsidP="00711A31">
            <w:pPr>
              <w:pStyle w:val="VCAAtablecondensed"/>
            </w:pPr>
            <w:r w:rsidRPr="00B603F0">
              <w:t>18</w:t>
            </w:r>
          </w:p>
        </w:tc>
      </w:tr>
      <w:tr w:rsidR="00B603F0" w:rsidRPr="00B603F0" w14:paraId="186D78A4" w14:textId="77777777" w:rsidTr="00B603F0">
        <w:tc>
          <w:tcPr>
            <w:tcW w:w="2518" w:type="dxa"/>
          </w:tcPr>
          <w:p w14:paraId="525E001E" w14:textId="77777777" w:rsidR="00B603F0" w:rsidRPr="00B603F0" w:rsidRDefault="00B603F0" w:rsidP="00711A31">
            <w:pPr>
              <w:pStyle w:val="VCAAtablecondensed"/>
            </w:pPr>
            <w:r w:rsidRPr="00B603F0">
              <w:t>2016</w:t>
            </w:r>
          </w:p>
        </w:tc>
        <w:tc>
          <w:tcPr>
            <w:tcW w:w="3686" w:type="dxa"/>
          </w:tcPr>
          <w:p w14:paraId="7B376D6A" w14:textId="77777777" w:rsidR="00B603F0" w:rsidRPr="00B603F0" w:rsidRDefault="00B603F0" w:rsidP="00711A31">
            <w:pPr>
              <w:pStyle w:val="VCAAtablecondensed"/>
            </w:pPr>
            <w:r w:rsidRPr="00B603F0">
              <w:t>19</w:t>
            </w:r>
          </w:p>
        </w:tc>
      </w:tr>
      <w:tr w:rsidR="00B603F0" w:rsidRPr="00B603F0" w14:paraId="1F9DA3FB" w14:textId="77777777" w:rsidTr="00B603F0">
        <w:tc>
          <w:tcPr>
            <w:tcW w:w="2518" w:type="dxa"/>
          </w:tcPr>
          <w:p w14:paraId="28971B0A" w14:textId="451062C6" w:rsidR="00B603F0" w:rsidRPr="00B603F0" w:rsidRDefault="00B603F0" w:rsidP="00B603F0">
            <w:pPr>
              <w:pStyle w:val="VCAAtablecondensed"/>
            </w:pPr>
            <w:r>
              <w:t>2017</w:t>
            </w:r>
          </w:p>
        </w:tc>
        <w:tc>
          <w:tcPr>
            <w:tcW w:w="3686" w:type="dxa"/>
          </w:tcPr>
          <w:p w14:paraId="47F51118" w14:textId="631B27AE" w:rsidR="00B603F0" w:rsidRPr="00B603F0" w:rsidRDefault="00B603F0" w:rsidP="00711A31">
            <w:pPr>
              <w:pStyle w:val="VCAAtablecondensed"/>
            </w:pPr>
            <w:r>
              <w:t>5</w:t>
            </w:r>
          </w:p>
        </w:tc>
      </w:tr>
    </w:tbl>
    <w:p w14:paraId="408FBE58" w14:textId="77777777" w:rsidR="00B603F0" w:rsidRDefault="00B603F0" w:rsidP="00E34183">
      <w:pPr>
        <w:pStyle w:val="VCAAbody"/>
      </w:pPr>
      <w:r>
        <w:t>The VCE examination rules prohibit the possession of mobile phones in examinations. Historically, mobile phones have been a major category in breaches of exam rules, however, 2017 saw a significant decrease in the number of mobile phone breaches.</w:t>
      </w:r>
    </w:p>
    <w:p w14:paraId="65861FEA" w14:textId="77777777" w:rsidR="00B603F0" w:rsidRDefault="00B603F0" w:rsidP="00E34183">
      <w:pPr>
        <w:pStyle w:val="VCAAbody"/>
      </w:pPr>
      <w:r>
        <w:t xml:space="preserve">In 2018 the VCAA investigated 12 students for mobile phone possession in examinations. </w:t>
      </w:r>
    </w:p>
    <w:p w14:paraId="65834E10" w14:textId="77777777" w:rsidR="00B603F0" w:rsidRDefault="00B603F0" w:rsidP="00E34183">
      <w:pPr>
        <w:pStyle w:val="VCAAbody"/>
      </w:pPr>
      <w:r>
        <w:t>Six mobile phone possession incidents were referred to Review Committees for determination. Where it was established that a student had been in possession of a mobile phone, their VCE results for that subject were reduced by the committee, regardless of whether the student had used the mobile phone during the examination.</w:t>
      </w:r>
    </w:p>
    <w:p w14:paraId="290A106C" w14:textId="69398F73" w:rsidR="00BD575D" w:rsidRPr="002140FD" w:rsidRDefault="00BD575D" w:rsidP="00B603F0">
      <w:pPr>
        <w:pStyle w:val="VCAAHeading2"/>
      </w:pPr>
      <w:r w:rsidRPr="006908AC">
        <w:t>Penalties</w:t>
      </w:r>
    </w:p>
    <w:p w14:paraId="5AC53E48" w14:textId="642DE001" w:rsidR="00BD575D" w:rsidRPr="002140FD" w:rsidRDefault="002140FD" w:rsidP="00B603F0">
      <w:pPr>
        <w:pStyle w:val="VCAAHeading3"/>
        <w:rPr>
          <w:rFonts w:asciiTheme="majorHAnsi" w:hAnsiTheme="majorHAnsi" w:cstheme="majorBidi"/>
        </w:rPr>
      </w:pPr>
      <w:r>
        <w:t>Se</w:t>
      </w:r>
      <w:r w:rsidR="00BD575D">
        <w:t>rious penalties</w:t>
      </w:r>
    </w:p>
    <w:p w14:paraId="5BF326B3" w14:textId="77777777" w:rsidR="00BD575D" w:rsidRPr="00C644B6" w:rsidRDefault="00BD575D" w:rsidP="002140FD">
      <w:pPr>
        <w:pStyle w:val="VCAAbody"/>
      </w:pPr>
      <w:r w:rsidRPr="00C644B6">
        <w:t xml:space="preserve">Eleven students received significant penalties from the VCAA </w:t>
      </w:r>
      <w:r>
        <w:t>R</w:t>
      </w:r>
      <w:r w:rsidRPr="00C644B6">
        <w:t xml:space="preserve">eview </w:t>
      </w:r>
      <w:r>
        <w:t>C</w:t>
      </w:r>
      <w:r w:rsidRPr="00C644B6">
        <w:t xml:space="preserve">ommittees following hearings. These penalties ranged from a reduction of </w:t>
      </w:r>
      <w:r>
        <w:t>one</w:t>
      </w:r>
      <w:r w:rsidRPr="00C644B6">
        <w:t xml:space="preserve"> mark from an exam</w:t>
      </w:r>
      <w:r>
        <w:t>ination</w:t>
      </w:r>
      <w:r w:rsidRPr="00C644B6">
        <w:t xml:space="preserve"> result</w:t>
      </w:r>
      <w:r>
        <w:t xml:space="preserve">, which </w:t>
      </w:r>
      <w:r w:rsidRPr="00C644B6">
        <w:t>did not affect the grade or study score of the student, to the reduction of 12 exam grades</w:t>
      </w:r>
      <w:r>
        <w:rPr>
          <w:rStyle w:val="FootnoteReference"/>
        </w:rPr>
        <w:footnoteReference w:id="1"/>
      </w:r>
      <w:r w:rsidRPr="00C644B6">
        <w:t xml:space="preserve"> for multiple examination rule breaches, resulting in a total study score reduction of 18.</w:t>
      </w:r>
    </w:p>
    <w:p w14:paraId="6D5B0E32" w14:textId="77777777" w:rsidR="00BD575D" w:rsidRPr="007E0303" w:rsidRDefault="00BD575D" w:rsidP="002140FD">
      <w:pPr>
        <w:pStyle w:val="VCAAbullet"/>
      </w:pPr>
      <w:r w:rsidRPr="007E0303">
        <w:t>Five students were penalised for being in possession of a mobile phone and three of those matters also involved using the mobile phone to gain an unfair advantage. One student who had breached multiple examination rules received a 12 grade reduction. One student received a two-grade reduction and two students received a one-grade reduction. Another student received a one mark reduction from their examination result, which did not impact their grade or study score.</w:t>
      </w:r>
    </w:p>
    <w:p w14:paraId="7FFE5AF7" w14:textId="77777777" w:rsidR="00BD575D" w:rsidRPr="007E0303" w:rsidRDefault="00BD575D" w:rsidP="002140FD">
      <w:pPr>
        <w:pStyle w:val="VCAAbullet"/>
      </w:pPr>
      <w:r w:rsidRPr="007E0303">
        <w:t>Four students were penalised for bringing notes into their exams. One student received a two-mark reduction from their examination result. One student received a two-grade reduction and another student received a one-grade reduction. A student who had breached multiple examination rules received a 12 grade reduction.</w:t>
      </w:r>
    </w:p>
    <w:p w14:paraId="5783F1AB" w14:textId="77777777" w:rsidR="00BD575D" w:rsidRPr="007E0303" w:rsidRDefault="00BD575D" w:rsidP="002140FD">
      <w:pPr>
        <w:pStyle w:val="VCAAbullet"/>
      </w:pPr>
      <w:r w:rsidRPr="007E0303">
        <w:t>Two students were found to have obtained an unfair advantage by copying multiple choice answers from another student. Both students had their exam grade reduced to UG.</w:t>
      </w:r>
      <w:r w:rsidRPr="007E0303" w:rsidDel="000328C0">
        <w:t xml:space="preserve"> </w:t>
      </w:r>
    </w:p>
    <w:p w14:paraId="7BDB1711" w14:textId="77777777" w:rsidR="00BD575D" w:rsidRPr="007E0303" w:rsidRDefault="00BD575D" w:rsidP="002140FD">
      <w:pPr>
        <w:pStyle w:val="VCAAbullet"/>
      </w:pPr>
      <w:r w:rsidRPr="007E0303">
        <w:t xml:space="preserve">One student was penalised with a one-grade reduction for repeatedly disobeying the exam supervisor’s instructions to cease writing. The student who breached multiple examination rules and received a 12 grade reduction was also penalised for writing during reading time. </w:t>
      </w:r>
    </w:p>
    <w:p w14:paraId="68C0C9DE" w14:textId="4575F2B7" w:rsidR="00BD575D" w:rsidRPr="002140FD" w:rsidRDefault="00BD575D" w:rsidP="00B603F0">
      <w:pPr>
        <w:pStyle w:val="VCAAHeading3"/>
      </w:pPr>
      <w:r w:rsidRPr="00985B27">
        <w:t xml:space="preserve">Chief Executive Officer </w:t>
      </w:r>
      <w:r w:rsidRPr="00B603F0">
        <w:t>reprimands</w:t>
      </w:r>
    </w:p>
    <w:p w14:paraId="62A08FD5" w14:textId="137711FB" w:rsidR="00BD575D" w:rsidRDefault="00BD575D" w:rsidP="002140FD">
      <w:pPr>
        <w:pStyle w:val="VCAAbody"/>
      </w:pPr>
      <w:r>
        <w:t>Three</w:t>
      </w:r>
      <w:r w:rsidRPr="004A2996">
        <w:t xml:space="preserve"> student</w:t>
      </w:r>
      <w:r>
        <w:t>s received written reprimands from the Chief Executive Officer (CEO) of the VCAA.</w:t>
      </w:r>
    </w:p>
    <w:p w14:paraId="44BACED9" w14:textId="77777777" w:rsidR="00BD575D" w:rsidRPr="002140FD" w:rsidRDefault="00BD575D" w:rsidP="002140FD">
      <w:pPr>
        <w:pStyle w:val="VCAAbody"/>
        <w:rPr>
          <w:rStyle w:val="VCAAbodyChar"/>
        </w:rPr>
      </w:pPr>
      <w:r>
        <w:t xml:space="preserve">Reprimands are issued where a breach of an examination rule has occurred, the student has been interviewed by VCAA investigators, and the CEO has decided that the breach did not result in any advantage </w:t>
      </w:r>
      <w:r w:rsidRPr="002140FD">
        <w:rPr>
          <w:rStyle w:val="VCAAbodyChar"/>
        </w:rPr>
        <w:t>being obtained by the student and is not serious enough to refer to a Review Committee.</w:t>
      </w:r>
    </w:p>
    <w:p w14:paraId="67ED31ED" w14:textId="15EC6BE4" w:rsidR="00BD575D" w:rsidRDefault="00BD575D" w:rsidP="002140FD">
      <w:pPr>
        <w:pStyle w:val="VCAAHeading3"/>
      </w:pPr>
      <w:r>
        <w:t>Cautions</w:t>
      </w:r>
    </w:p>
    <w:p w14:paraId="11A14DDB" w14:textId="77777777" w:rsidR="00BD575D" w:rsidRDefault="00BD575D" w:rsidP="002140FD">
      <w:pPr>
        <w:pStyle w:val="VCAAbody"/>
      </w:pPr>
      <w:r>
        <w:t>The VCAA issued written cautions to</w:t>
      </w:r>
      <w:r>
        <w:rPr>
          <w:b/>
        </w:rPr>
        <w:t xml:space="preserve"> </w:t>
      </w:r>
      <w:r>
        <w:t>21</w:t>
      </w:r>
      <w:r w:rsidRPr="004A2996">
        <w:t xml:space="preserve"> students</w:t>
      </w:r>
      <w:r>
        <w:t xml:space="preserve"> for minor breaches of the VCAA examination rules. Students are cautioned where, after careful investigation, the VCAA is satisfied that there was no intent to cheat and no unfair advantage had been gained by the breach.</w:t>
      </w:r>
    </w:p>
    <w:p w14:paraId="3C9890DA" w14:textId="2330324F" w:rsidR="00BD575D" w:rsidRDefault="00BD575D" w:rsidP="002140FD">
      <w:pPr>
        <w:pStyle w:val="VCAAHeading3"/>
      </w:pPr>
      <w:r>
        <w:t>No further action</w:t>
      </w:r>
    </w:p>
    <w:p w14:paraId="43F9D675" w14:textId="77777777" w:rsidR="00BD575D" w:rsidRDefault="00BD575D" w:rsidP="002140FD">
      <w:pPr>
        <w:pStyle w:val="VCAAbody"/>
        <w:rPr>
          <w:b/>
          <w:bCs/>
        </w:rPr>
      </w:pPr>
      <w:r>
        <w:t>There were 25 cases where the VCAA took no further action, as preliminary investigations found the evidence either did not substantiate the allegation or the alleged actions were of a trivial nature.</w:t>
      </w:r>
    </w:p>
    <w:sectPr w:rsidR="00BD575D" w:rsidSect="00970580">
      <w:headerReference w:type="default" r:id="rId11"/>
      <w:footerReference w:type="default" r:id="rId12"/>
      <w:headerReference w:type="first" r:id="rId13"/>
      <w:footerReference w:type="first" r:id="rId14"/>
      <w:type w:val="continuous"/>
      <w:pgSz w:w="11907" w:h="16840" w:code="9"/>
      <w:pgMar w:top="320" w:right="1134" w:bottom="1134" w:left="1134"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D463C8" w14:textId="77777777" w:rsidR="00055499" w:rsidRDefault="00055499" w:rsidP="00304EA1">
      <w:pPr>
        <w:spacing w:after="0" w:line="240" w:lineRule="auto"/>
      </w:pPr>
      <w:r>
        <w:separator/>
      </w:r>
    </w:p>
  </w:endnote>
  <w:endnote w:type="continuationSeparator" w:id="0">
    <w:p w14:paraId="0E8E8FFD" w14:textId="77777777" w:rsidR="00055499" w:rsidRDefault="00055499"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025CA" w14:textId="1180EB20" w:rsidR="00055499" w:rsidRPr="00243F0D" w:rsidRDefault="00055499" w:rsidP="00970580">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B603F0">
      <w:rPr>
        <w:noProof/>
      </w:rPr>
      <w:t>4</w:t>
    </w:r>
    <w:r w:rsidRPr="00B4195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E620D" w14:textId="77777777" w:rsidR="00055499" w:rsidRDefault="00055499" w:rsidP="00970580">
    <w:pPr>
      <w:pStyle w:val="VCAAcaptionsandfootnotes"/>
      <w:spacing w:before="520"/>
    </w:pPr>
    <w:r w:rsidRPr="00970580">
      <w:t xml:space="preserve">© </w:t>
    </w:r>
    <w:hyperlink r:id="rId1" w:history="1">
      <w:r w:rsidRPr="00970580">
        <w:rPr>
          <w:rStyle w:val="Hyperlink"/>
        </w:rPr>
        <w:t>VCAA</w:t>
      </w:r>
    </w:hyperlink>
    <w:r>
      <w:rPr>
        <w:rStyle w:val="Hyperlink"/>
      </w:rPr>
      <w:tab/>
    </w:r>
    <w:r w:rsidRPr="00970580">
      <w:t xml:space="preserve"> </w:t>
    </w:r>
    <w:r>
      <w:ptab w:relativeTo="margin" w:alignment="right" w:leader="none"/>
    </w:r>
    <w:r>
      <w:rPr>
        <w:noProof/>
        <w:lang w:val="en-AU" w:eastAsia="en-AU"/>
      </w:rPr>
      <w:drawing>
        <wp:inline distT="0" distB="0" distL="0" distR="0" wp14:anchorId="27FF7554" wp14:editId="0E44E1B3">
          <wp:extent cx="649225" cy="367734"/>
          <wp:effectExtent l="0" t="0" r="0" b="0"/>
          <wp:docPr id="1" name="Picture 1" descr="State Government of Victoria insignia" title="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5" cy="36773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D2E565" w14:textId="77777777" w:rsidR="00055499" w:rsidRDefault="00055499" w:rsidP="00304EA1">
      <w:pPr>
        <w:spacing w:after="0" w:line="240" w:lineRule="auto"/>
      </w:pPr>
      <w:r>
        <w:separator/>
      </w:r>
    </w:p>
  </w:footnote>
  <w:footnote w:type="continuationSeparator" w:id="0">
    <w:p w14:paraId="2B9407B4" w14:textId="77777777" w:rsidR="00055499" w:rsidRDefault="00055499" w:rsidP="00304EA1">
      <w:pPr>
        <w:spacing w:after="0" w:line="240" w:lineRule="auto"/>
      </w:pPr>
      <w:r>
        <w:continuationSeparator/>
      </w:r>
    </w:p>
  </w:footnote>
  <w:footnote w:id="1">
    <w:p w14:paraId="62A5297B" w14:textId="77777777" w:rsidR="00055499" w:rsidRPr="00AC6DE5" w:rsidRDefault="00055499" w:rsidP="002140FD">
      <w:pPr>
        <w:pStyle w:val="VCAAcaptionsandfootnotes"/>
      </w:pPr>
      <w:r>
        <w:rPr>
          <w:rStyle w:val="FootnoteReference"/>
        </w:rPr>
        <w:footnoteRef/>
      </w:r>
      <w:r>
        <w:t xml:space="preserve"> </w:t>
      </w:r>
      <w:r w:rsidRPr="00AC6DE5">
        <w:t>The examination grading scale ranges from A+ to UG.</w:t>
      </w:r>
      <w:bookmarkStart w:id="0" w:name="_GoBack"/>
      <w:bookmarkEnd w:id="0"/>
    </w:p>
    <w:p w14:paraId="753551DC" w14:textId="77777777" w:rsidR="00055499" w:rsidRDefault="00055499" w:rsidP="00BD575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999999" w:themeColor="accent2"/>
      </w:rPr>
      <w:alias w:val="Title"/>
      <w:tag w:val=""/>
      <w:id w:val="-2029327038"/>
      <w:placeholder>
        <w:docPart w:val="5EDC4A0CC4954BFCA7EA90F8D6A596A3"/>
      </w:placeholder>
      <w:dataBinding w:prefixMappings="xmlns:ns0='http://purl.org/dc/elements/1.1/' xmlns:ns1='http://schemas.openxmlformats.org/package/2006/metadata/core-properties' " w:xpath="/ns1:coreProperties[1]/ns0:title[1]" w:storeItemID="{6C3C8BC8-F283-45AE-878A-BAB7291924A1}"/>
      <w:text/>
    </w:sdtPr>
    <w:sdtEndPr/>
    <w:sdtContent>
      <w:p w14:paraId="1EE52FDB" w14:textId="77777777" w:rsidR="00055499" w:rsidRPr="00D86DE4" w:rsidRDefault="00055499" w:rsidP="00D86DE4">
        <w:pPr>
          <w:pStyle w:val="VCAAcaptionsandfootnotes"/>
          <w:rPr>
            <w:color w:val="999999" w:themeColor="accent2"/>
          </w:rPr>
        </w:pPr>
        <w:r>
          <w:rPr>
            <w:color w:val="999999" w:themeColor="accent2"/>
            <w:lang w:val="en-AU"/>
          </w:rPr>
          <w:t>Type title here</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49236" w14:textId="77777777" w:rsidR="00055499" w:rsidRPr="009370BC" w:rsidRDefault="00055499" w:rsidP="00970580">
    <w:pPr>
      <w:spacing w:after="0"/>
      <w:ind w:right="-142"/>
      <w:jc w:val="right"/>
    </w:pPr>
    <w:r>
      <w:rPr>
        <w:noProof/>
        <w:lang w:val="en-AU" w:eastAsia="en-AU"/>
      </w:rPr>
      <w:drawing>
        <wp:inline distT="0" distB="0" distL="0" distR="0" wp14:anchorId="6AA9443A" wp14:editId="7AAB516A">
          <wp:extent cx="2160000" cy="408374"/>
          <wp:effectExtent l="0" t="0" r="0" b="0"/>
          <wp:docPr id="2" name="Picture 2" descr="The logo and registered trademark of Victorian Curriculum and Assessment Authority logo" title="Victorian Curriculum and Assess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rgb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083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5" w15:restartNumberingAfterBreak="0">
    <w:nsid w:val="7C7A3616"/>
    <w:multiLevelType w:val="hybridMultilevel"/>
    <w:tmpl w:val="11AC7B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stylePaneSortMethod w:val="0000"/>
  <w:mailMerge>
    <w:mainDocumentType w:val="formLetters"/>
    <w:dataType w:val="textFile"/>
    <w:activeRecord w:val="-1"/>
    <w:odso/>
  </w:mailMerg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526"/>
    <w:rsid w:val="00003885"/>
    <w:rsid w:val="00055499"/>
    <w:rsid w:val="0005780E"/>
    <w:rsid w:val="00065CC6"/>
    <w:rsid w:val="000A71F7"/>
    <w:rsid w:val="000F09E4"/>
    <w:rsid w:val="000F16FD"/>
    <w:rsid w:val="002140FD"/>
    <w:rsid w:val="002279BA"/>
    <w:rsid w:val="002329F3"/>
    <w:rsid w:val="00243F0D"/>
    <w:rsid w:val="002647BB"/>
    <w:rsid w:val="002754C1"/>
    <w:rsid w:val="002841C8"/>
    <w:rsid w:val="0028516B"/>
    <w:rsid w:val="002C6F90"/>
    <w:rsid w:val="002E4FB5"/>
    <w:rsid w:val="00302FB8"/>
    <w:rsid w:val="00304EA1"/>
    <w:rsid w:val="00314D81"/>
    <w:rsid w:val="00322FC6"/>
    <w:rsid w:val="0035293F"/>
    <w:rsid w:val="00391986"/>
    <w:rsid w:val="003A00B4"/>
    <w:rsid w:val="00417AA3"/>
    <w:rsid w:val="00440B32"/>
    <w:rsid w:val="0046078D"/>
    <w:rsid w:val="004A2ED8"/>
    <w:rsid w:val="004F5BDA"/>
    <w:rsid w:val="0051631E"/>
    <w:rsid w:val="00537A1F"/>
    <w:rsid w:val="00566029"/>
    <w:rsid w:val="005923CB"/>
    <w:rsid w:val="005B391B"/>
    <w:rsid w:val="005D3D78"/>
    <w:rsid w:val="005E2EF0"/>
    <w:rsid w:val="0068471E"/>
    <w:rsid w:val="00684F98"/>
    <w:rsid w:val="00693FFD"/>
    <w:rsid w:val="006D2159"/>
    <w:rsid w:val="006F787C"/>
    <w:rsid w:val="00702636"/>
    <w:rsid w:val="00724507"/>
    <w:rsid w:val="00773E6C"/>
    <w:rsid w:val="00781FB1"/>
    <w:rsid w:val="00813C37"/>
    <w:rsid w:val="008154B5"/>
    <w:rsid w:val="00823962"/>
    <w:rsid w:val="00852719"/>
    <w:rsid w:val="00860115"/>
    <w:rsid w:val="0088783C"/>
    <w:rsid w:val="009370BC"/>
    <w:rsid w:val="00970580"/>
    <w:rsid w:val="0098739B"/>
    <w:rsid w:val="009B61E5"/>
    <w:rsid w:val="009D1E89"/>
    <w:rsid w:val="00A17661"/>
    <w:rsid w:val="00A24B2D"/>
    <w:rsid w:val="00A40966"/>
    <w:rsid w:val="00A921E0"/>
    <w:rsid w:val="00AE5526"/>
    <w:rsid w:val="00AF051B"/>
    <w:rsid w:val="00B01578"/>
    <w:rsid w:val="00B034A9"/>
    <w:rsid w:val="00B0738F"/>
    <w:rsid w:val="00B26601"/>
    <w:rsid w:val="00B41951"/>
    <w:rsid w:val="00B53229"/>
    <w:rsid w:val="00B603F0"/>
    <w:rsid w:val="00B62480"/>
    <w:rsid w:val="00B81B70"/>
    <w:rsid w:val="00BD0724"/>
    <w:rsid w:val="00BD2B91"/>
    <w:rsid w:val="00BD575D"/>
    <w:rsid w:val="00BE5521"/>
    <w:rsid w:val="00C53263"/>
    <w:rsid w:val="00C75F1D"/>
    <w:rsid w:val="00CB68E8"/>
    <w:rsid w:val="00D04F01"/>
    <w:rsid w:val="00D338E4"/>
    <w:rsid w:val="00D51947"/>
    <w:rsid w:val="00D532F0"/>
    <w:rsid w:val="00D77413"/>
    <w:rsid w:val="00D82759"/>
    <w:rsid w:val="00D86DE4"/>
    <w:rsid w:val="00E23F1D"/>
    <w:rsid w:val="00E34183"/>
    <w:rsid w:val="00E36361"/>
    <w:rsid w:val="00E55AE9"/>
    <w:rsid w:val="00EB0C84"/>
    <w:rsid w:val="00F40D53"/>
    <w:rsid w:val="00F4525C"/>
    <w:rsid w:val="00F50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B39BDCE"/>
  <w15:docId w15:val="{7CBDF8BE-9667-4C66-8248-C26151857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paragraph" w:styleId="Heading3">
    <w:name w:val="heading 3"/>
    <w:basedOn w:val="Normal"/>
    <w:next w:val="Normal"/>
    <w:link w:val="Heading3Char"/>
    <w:qFormat/>
    <w:rsid w:val="00BD575D"/>
    <w:pPr>
      <w:keepNext/>
      <w:spacing w:before="120" w:after="120" w:line="240" w:lineRule="auto"/>
      <w:outlineLvl w:val="2"/>
    </w:pPr>
    <w:rPr>
      <w:rFonts w:ascii="Arial" w:eastAsia="Times New Roman" w:hAnsi="Arial" w:cs="Arial"/>
      <w:b/>
      <w:bCs/>
      <w:sz w:val="26"/>
      <w:szCs w:val="26"/>
      <w:lang w:val="en-AU" w:eastAsia="en-AU"/>
    </w:rPr>
  </w:style>
  <w:style w:type="paragraph" w:styleId="Heading4">
    <w:name w:val="heading 4"/>
    <w:basedOn w:val="Normal"/>
    <w:next w:val="Normal"/>
    <w:link w:val="Heading4Char"/>
    <w:uiPriority w:val="9"/>
    <w:unhideWhenUsed/>
    <w:qFormat/>
    <w:rsid w:val="002140FD"/>
    <w:pPr>
      <w:keepNext/>
      <w:keepLines/>
      <w:spacing w:before="40" w:after="0"/>
      <w:outlineLvl w:val="3"/>
    </w:pPr>
    <w:rPr>
      <w:rFonts w:asciiTheme="majorHAnsi" w:eastAsiaTheme="majorEastAsia" w:hAnsiTheme="majorHAnsi" w:cstheme="majorBidi"/>
      <w:i/>
      <w:iCs/>
      <w:color w:val="0072AA" w:themeColor="accent1" w:themeShade="BF"/>
    </w:rPr>
  </w:style>
  <w:style w:type="paragraph" w:styleId="Heading5">
    <w:name w:val="heading 5"/>
    <w:basedOn w:val="Normal"/>
    <w:next w:val="Normal"/>
    <w:link w:val="Heading5Char"/>
    <w:uiPriority w:val="9"/>
    <w:unhideWhenUsed/>
    <w:qFormat/>
    <w:rsid w:val="002140FD"/>
    <w:pPr>
      <w:keepNext/>
      <w:keepLines/>
      <w:spacing w:before="40" w:after="0"/>
      <w:outlineLvl w:val="4"/>
    </w:pPr>
    <w:rPr>
      <w:rFonts w:asciiTheme="majorHAnsi" w:eastAsiaTheme="majorEastAsia" w:hAnsiTheme="majorHAnsi" w:cstheme="majorBidi"/>
      <w:color w:val="0072A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9B61E5"/>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9B61E5"/>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9B61E5"/>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9B61E5"/>
    <w:pPr>
      <w:spacing w:before="280" w:after="140"/>
      <w:outlineLvl w:val="3"/>
    </w:pPr>
    <w:rPr>
      <w:sz w:val="28"/>
      <w:szCs w:val="24"/>
    </w:rPr>
  </w:style>
  <w:style w:type="paragraph" w:customStyle="1" w:styleId="VCAAbody">
    <w:name w:val="VCAA body"/>
    <w:link w:val="VCAAbodyChar"/>
    <w:qFormat/>
    <w:rsid w:val="00B01578"/>
    <w:pPr>
      <w:spacing w:before="120" w:after="120" w:line="280" w:lineRule="exact"/>
    </w:pPr>
    <w:rPr>
      <w:rFonts w:ascii="Arial" w:hAnsi="Arial" w:cs="Arial"/>
      <w:color w:val="000000" w:themeColor="text1"/>
    </w:rPr>
  </w:style>
  <w:style w:type="table" w:styleId="TableGrid">
    <w:name w:val="Table Grid"/>
    <w:basedOn w:val="TableNormal"/>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AF051B"/>
    <w:rPr>
      <w:color w:val="000000" w:themeColor="text1"/>
    </w:rPr>
  </w:style>
  <w:style w:type="paragraph" w:customStyle="1" w:styleId="VCAAbullet">
    <w:name w:val="VCAA bullet"/>
    <w:basedOn w:val="VCAAbody"/>
    <w:autoRedefine/>
    <w:qFormat/>
    <w:rsid w:val="0035293F"/>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35293F"/>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35293F"/>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9B61E5"/>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9B61E5"/>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065CC6"/>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35293F"/>
    <w:pPr>
      <w:numPr>
        <w:numId w:val="5"/>
      </w:numPr>
      <w:ind w:left="850" w:hanging="425"/>
    </w:pPr>
    <w:rPr>
      <w:color w:val="000000" w:themeColor="text1"/>
    </w:rPr>
  </w:style>
  <w:style w:type="table" w:customStyle="1" w:styleId="VCAATableClosed">
    <w:name w:val="VCAA Table Closed"/>
    <w:basedOn w:val="VCAATable"/>
    <w:uiPriority w:val="99"/>
    <w:rsid w:val="00BD2B9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055499"/>
    <w:rPr>
      <w:b/>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9D1E89"/>
    <w:pPr>
      <w:jc w:val="center"/>
      <w:outlineLvl w:val="1"/>
    </w:pPr>
    <w:rPr>
      <w:rFonts w:ascii="Arial" w:hAnsi="Arial" w:cs="Arial"/>
      <w:noProof/>
      <w:color w:val="0099E3" w:themeColor="accent1"/>
      <w:sz w:val="56"/>
      <w:szCs w:val="48"/>
      <w:lang w:val="en-AU" w:eastAsia="en-AU"/>
    </w:rPr>
  </w:style>
  <w:style w:type="paragraph" w:customStyle="1" w:styleId="VCAAfigures">
    <w:name w:val="VCAA figures"/>
    <w:basedOn w:val="VCAAbody"/>
    <w:link w:val="VCAAfiguresChar"/>
    <w:qFormat/>
    <w:rsid w:val="00AE5526"/>
    <w:pPr>
      <w:spacing w:line="240" w:lineRule="auto"/>
      <w:jc w:val="center"/>
    </w:pPr>
    <w:rPr>
      <w:noProof/>
    </w:rPr>
  </w:style>
  <w:style w:type="character" w:customStyle="1" w:styleId="VCAAbodyChar">
    <w:name w:val="VCAA body Char"/>
    <w:basedOn w:val="DefaultParagraphFont"/>
    <w:link w:val="VCAAbody"/>
    <w:rsid w:val="00AE5526"/>
    <w:rPr>
      <w:rFonts w:ascii="Arial" w:hAnsi="Arial" w:cs="Arial"/>
      <w:color w:val="000000" w:themeColor="text1"/>
    </w:rPr>
  </w:style>
  <w:style w:type="character" w:customStyle="1" w:styleId="VCAAfiguresChar">
    <w:name w:val="VCAA figures Char"/>
    <w:basedOn w:val="VCAAbodyChar"/>
    <w:link w:val="VCAAfigures"/>
    <w:rsid w:val="00AE5526"/>
    <w:rPr>
      <w:rFonts w:ascii="Arial" w:hAnsi="Arial" w:cs="Arial"/>
      <w:noProof/>
      <w:color w:val="000000" w:themeColor="text1"/>
    </w:rPr>
  </w:style>
  <w:style w:type="character" w:customStyle="1" w:styleId="Heading3Char">
    <w:name w:val="Heading 3 Char"/>
    <w:basedOn w:val="DefaultParagraphFont"/>
    <w:link w:val="Heading3"/>
    <w:rsid w:val="00BD575D"/>
    <w:rPr>
      <w:rFonts w:ascii="Arial" w:eastAsia="Times New Roman" w:hAnsi="Arial" w:cs="Arial"/>
      <w:b/>
      <w:bCs/>
      <w:sz w:val="26"/>
      <w:szCs w:val="26"/>
      <w:lang w:val="en-AU" w:eastAsia="en-AU"/>
    </w:rPr>
  </w:style>
  <w:style w:type="paragraph" w:customStyle="1" w:styleId="StyleArial14ptLeftBefore0ptAfter0pt">
    <w:name w:val="Style Arial 14 pt Left Before:  0 pt After:  0 pt"/>
    <w:basedOn w:val="Normal"/>
    <w:rsid w:val="00BD575D"/>
    <w:pPr>
      <w:spacing w:after="0" w:line="360" w:lineRule="auto"/>
      <w:jc w:val="both"/>
    </w:pPr>
    <w:rPr>
      <w:rFonts w:ascii="Arial" w:eastAsia="Times New Roman" w:hAnsi="Arial" w:cs="Times New Roman"/>
      <w:sz w:val="28"/>
      <w:szCs w:val="20"/>
      <w:lang w:val="en-AU" w:eastAsia="zh-CN"/>
    </w:rPr>
  </w:style>
  <w:style w:type="paragraph" w:customStyle="1" w:styleId="stylearial14ptleftbefore0ptafter0pt0">
    <w:name w:val="stylearial14ptleftbefore0ptafter0pt"/>
    <w:basedOn w:val="Normal"/>
    <w:rsid w:val="00BD575D"/>
    <w:pPr>
      <w:spacing w:after="0" w:line="360" w:lineRule="auto"/>
      <w:jc w:val="both"/>
    </w:pPr>
    <w:rPr>
      <w:rFonts w:ascii="Arial" w:hAnsi="Arial" w:cs="Arial"/>
      <w:sz w:val="28"/>
      <w:szCs w:val="28"/>
      <w:lang w:val="en-AU" w:eastAsia="en-AU"/>
    </w:rPr>
  </w:style>
  <w:style w:type="paragraph" w:styleId="FootnoteText">
    <w:name w:val="footnote text"/>
    <w:basedOn w:val="Normal"/>
    <w:link w:val="FootnoteTextChar"/>
    <w:uiPriority w:val="99"/>
    <w:unhideWhenUsed/>
    <w:rsid w:val="00BD575D"/>
    <w:pPr>
      <w:spacing w:after="0" w:line="240" w:lineRule="auto"/>
    </w:pPr>
    <w:rPr>
      <w:rFonts w:ascii="Times New Roman" w:eastAsia="SimSun" w:hAnsi="Times New Roman" w:cs="Times New Roman"/>
      <w:sz w:val="24"/>
      <w:szCs w:val="24"/>
      <w:lang w:val="en-AU" w:eastAsia="zh-CN"/>
    </w:rPr>
  </w:style>
  <w:style w:type="character" w:customStyle="1" w:styleId="FootnoteTextChar">
    <w:name w:val="Footnote Text Char"/>
    <w:basedOn w:val="DefaultParagraphFont"/>
    <w:link w:val="FootnoteText"/>
    <w:uiPriority w:val="99"/>
    <w:rsid w:val="00BD575D"/>
    <w:rPr>
      <w:rFonts w:ascii="Times New Roman" w:eastAsia="SimSun" w:hAnsi="Times New Roman" w:cs="Times New Roman"/>
      <w:sz w:val="24"/>
      <w:szCs w:val="24"/>
      <w:lang w:val="en-AU" w:eastAsia="zh-CN"/>
    </w:rPr>
  </w:style>
  <w:style w:type="character" w:styleId="FootnoteReference">
    <w:name w:val="footnote reference"/>
    <w:basedOn w:val="DefaultParagraphFont"/>
    <w:uiPriority w:val="99"/>
    <w:unhideWhenUsed/>
    <w:rsid w:val="00BD575D"/>
    <w:rPr>
      <w:vertAlign w:val="superscript"/>
    </w:rPr>
  </w:style>
  <w:style w:type="paragraph" w:styleId="ListParagraph">
    <w:name w:val="List Paragraph"/>
    <w:basedOn w:val="Normal"/>
    <w:uiPriority w:val="34"/>
    <w:qFormat/>
    <w:rsid w:val="00BD575D"/>
    <w:pPr>
      <w:spacing w:after="0" w:line="240" w:lineRule="auto"/>
      <w:ind w:left="720"/>
      <w:contextualSpacing/>
    </w:pPr>
    <w:rPr>
      <w:rFonts w:ascii="Times New Roman" w:eastAsia="SimSun" w:hAnsi="Times New Roman" w:cs="Times New Roman"/>
      <w:sz w:val="24"/>
      <w:szCs w:val="24"/>
      <w:lang w:val="en-AU" w:eastAsia="zh-CN"/>
    </w:rPr>
  </w:style>
  <w:style w:type="character" w:customStyle="1" w:styleId="Heading4Char">
    <w:name w:val="Heading 4 Char"/>
    <w:basedOn w:val="DefaultParagraphFont"/>
    <w:link w:val="Heading4"/>
    <w:uiPriority w:val="9"/>
    <w:rsid w:val="002140FD"/>
    <w:rPr>
      <w:rFonts w:asciiTheme="majorHAnsi" w:eastAsiaTheme="majorEastAsia" w:hAnsiTheme="majorHAnsi" w:cstheme="majorBidi"/>
      <w:i/>
      <w:iCs/>
      <w:color w:val="0072AA" w:themeColor="accent1" w:themeShade="BF"/>
    </w:rPr>
  </w:style>
  <w:style w:type="character" w:customStyle="1" w:styleId="Heading5Char">
    <w:name w:val="Heading 5 Char"/>
    <w:basedOn w:val="DefaultParagraphFont"/>
    <w:link w:val="Heading5"/>
    <w:uiPriority w:val="9"/>
    <w:rsid w:val="002140FD"/>
    <w:rPr>
      <w:rFonts w:asciiTheme="majorHAnsi" w:eastAsiaTheme="majorEastAsia" w:hAnsiTheme="majorHAnsi" w:cstheme="majorBidi"/>
      <w:color w:val="0072AA"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EDC4A0CC4954BFCA7EA90F8D6A596A3"/>
        <w:category>
          <w:name w:val="General"/>
          <w:gallery w:val="placeholder"/>
        </w:category>
        <w:types>
          <w:type w:val="bbPlcHdr"/>
        </w:types>
        <w:behaviors>
          <w:behavior w:val="content"/>
        </w:behaviors>
        <w:guid w:val="{B9DD208E-AD3D-419F-8624-0AD187F8453F}"/>
      </w:docPartPr>
      <w:docPartBody>
        <w:p w:rsidR="002A35D2" w:rsidRDefault="002A35D2">
          <w:pPr>
            <w:pStyle w:val="5EDC4A0CC4954BFCA7EA90F8D6A596A3"/>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5D2"/>
    <w:rsid w:val="00163589"/>
    <w:rsid w:val="002A35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EDC4A0CC4954BFCA7EA90F8D6A596A3">
    <w:name w:val="5EDC4A0CC4954BFCA7EA90F8D6A596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EBA848B5-61E6-45CE-88A6-73FD729D8E9B}">
  <ds:schemaRefs>
    <ds:schemaRef ds:uri="http://purl.org/dc/dcmitype/"/>
    <ds:schemaRef ds:uri="http://schemas.microsoft.com/office/2006/documentManagement/types"/>
    <ds:schemaRef ds:uri="http://purl.org/dc/terms/"/>
    <ds:schemaRef ds:uri="http://www.w3.org/XML/1998/namespace"/>
    <ds:schemaRef ds:uri="http://schemas.openxmlformats.org/package/2006/metadata/core-properties"/>
    <ds:schemaRef ds:uri="http://schemas.microsoft.com/office/2006/metadata/properties"/>
    <ds:schemaRef ds:uri="http://schemas.microsoft.com/office/infopath/2007/PartnerControls"/>
    <ds:schemaRef ds:uri="dac6363a-b01d-423e-b66d-3d8ff784962c"/>
    <ds:schemaRef ds:uri="http://purl.org/dc/elements/1.1/"/>
  </ds:schemaRefs>
</ds:datastoreItem>
</file>

<file path=customXml/itemProps3.xml><?xml version="1.0" encoding="utf-8"?>
<ds:datastoreItem xmlns:ds="http://schemas.openxmlformats.org/officeDocument/2006/customXml" ds:itemID="{1C7B4F9A-D9EC-4FAA-97BB-5FC451399842}"/>
</file>

<file path=customXml/itemProps4.xml><?xml version="1.0" encoding="utf-8"?>
<ds:datastoreItem xmlns:ds="http://schemas.openxmlformats.org/officeDocument/2006/customXml" ds:itemID="{CCD13D00-E2CE-4BE8-8B16-97EA88F37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1015</Words>
  <Characters>5791</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Type title here</vt:lpstr>
    </vt:vector>
  </TitlesOfParts>
  <Company>Victorian Curriculum and Assessment Authority</Company>
  <LinksUpToDate>false</LinksUpToDate>
  <CharactersWithSpaces>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title here</dc:title>
  <dc:creator>Heeren, Thomas T</dc:creator>
  <cp:lastModifiedBy>Mattei, Tina T</cp:lastModifiedBy>
  <cp:revision>2</cp:revision>
  <cp:lastPrinted>2015-05-15T02:36:00Z</cp:lastPrinted>
  <dcterms:created xsi:type="dcterms:W3CDTF">2019-09-30T01:50:00Z</dcterms:created>
  <dcterms:modified xsi:type="dcterms:W3CDTF">2019-09-30T01:50:00Z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