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5ADC" w14:textId="05E4F9C5" w:rsidR="00F4525C" w:rsidRDefault="0030376F" w:rsidP="00FD4C72">
      <w:pPr>
        <w:pStyle w:val="VCAADocumenttitle"/>
        <w:spacing w:before="480" w:after="480" w:line="620" w:lineRule="exact"/>
      </w:pPr>
      <w:r w:rsidRPr="0030376F">
        <w:rPr>
          <w:bCs/>
        </w:rPr>
        <w:t>VCE Bridging English as an Additional Language 2016</w:t>
      </w:r>
      <w:r w:rsidR="00027D9F">
        <w:rPr>
          <w:bCs/>
        </w:rPr>
        <w:t>–2021</w:t>
      </w:r>
      <w:r w:rsidR="00027D9F">
        <w:rPr>
          <w:bCs/>
        </w:rPr>
        <w:br/>
      </w:r>
      <w:bookmarkStart w:id="0" w:name="_GoBack"/>
      <w:bookmarkEnd w:id="0"/>
      <w:r w:rsidRPr="0030376F">
        <w:rPr>
          <w:bCs/>
        </w:rPr>
        <w:t>Frequently asked questions</w:t>
      </w:r>
    </w:p>
    <w:p w14:paraId="607B5ADD" w14:textId="77777777" w:rsidR="003D4674" w:rsidRDefault="003D4674" w:rsidP="00DC77D2">
      <w:pPr>
        <w:pStyle w:val="VCAAHeading4"/>
        <w:rPr>
          <w:szCs w:val="20"/>
        </w:rPr>
      </w:pPr>
      <w:bookmarkStart w:id="1" w:name="TemplateOverview"/>
      <w:bookmarkEnd w:id="1"/>
      <w:r>
        <w:rPr>
          <w:szCs w:val="20"/>
        </w:rPr>
        <w:t>What student cohort is best served by this study?</w:t>
      </w:r>
    </w:p>
    <w:p w14:paraId="607B5ADE" w14:textId="77777777" w:rsidR="003A7DC0" w:rsidRPr="00DC77D2" w:rsidRDefault="003A7DC0" w:rsidP="003A7DC0">
      <w:pPr>
        <w:pStyle w:val="VCAAbody"/>
      </w:pPr>
      <w:r w:rsidRPr="00DC77D2">
        <w:t xml:space="preserve">The </w:t>
      </w:r>
      <w:r>
        <w:t>study</w:t>
      </w:r>
      <w:r w:rsidRPr="00DC77D2">
        <w:t xml:space="preserve"> may be suited to students with interrupted education, those with limited exposure to an English language learning environment, students with language </w:t>
      </w:r>
      <w:proofErr w:type="spellStart"/>
      <w:r w:rsidRPr="00DC77D2">
        <w:t>centre</w:t>
      </w:r>
      <w:proofErr w:type="spellEnd"/>
      <w:r w:rsidRPr="00DC77D2">
        <w:t xml:space="preserve"> referrals, and EAL students who would benefit from a program which is designed to support the building of English knowledge and skills.</w:t>
      </w:r>
    </w:p>
    <w:p w14:paraId="607B5ADF" w14:textId="77777777" w:rsidR="00DC77D2" w:rsidRDefault="00DC77D2" w:rsidP="00DC77D2">
      <w:pPr>
        <w:pStyle w:val="VCAAHeading4"/>
      </w:pPr>
      <w:r>
        <w:rPr>
          <w:szCs w:val="20"/>
        </w:rPr>
        <w:t>What resources are available to support the implementation of VCE Bridging EAL?</w:t>
      </w:r>
    </w:p>
    <w:p w14:paraId="607B5AE0" w14:textId="77777777" w:rsidR="00DC77D2" w:rsidRDefault="00DC77D2" w:rsidP="00DC77D2">
      <w:pPr>
        <w:rPr>
          <w:rFonts w:ascii="Arial" w:hAnsi="Arial" w:cs="Arial"/>
          <w:color w:val="000000" w:themeColor="text1"/>
          <w:lang w:val="en-AU"/>
        </w:rPr>
      </w:pPr>
      <w:r w:rsidRPr="000F1AEB">
        <w:rPr>
          <w:rFonts w:ascii="Arial" w:hAnsi="Arial" w:cs="Arial"/>
          <w:color w:val="000000" w:themeColor="text1"/>
          <w:lang w:val="en-AU"/>
        </w:rPr>
        <w:t xml:space="preserve">The </w:t>
      </w:r>
      <w:r w:rsidRPr="000F1AEB">
        <w:rPr>
          <w:rFonts w:ascii="Arial" w:hAnsi="Arial" w:cs="Arial"/>
          <w:i/>
          <w:color w:val="000000" w:themeColor="text1"/>
          <w:lang w:val="en-AU"/>
        </w:rPr>
        <w:t xml:space="preserve">Advice for </w:t>
      </w:r>
      <w:proofErr w:type="gramStart"/>
      <w:r w:rsidRPr="000F1AEB">
        <w:rPr>
          <w:rFonts w:ascii="Arial" w:hAnsi="Arial" w:cs="Arial"/>
          <w:i/>
          <w:color w:val="000000" w:themeColor="text1"/>
          <w:lang w:val="en-AU"/>
        </w:rPr>
        <w:t>teachers</w:t>
      </w:r>
      <w:proofErr w:type="gramEnd"/>
      <w:r w:rsidRPr="000F1AEB">
        <w:rPr>
          <w:rFonts w:ascii="Arial" w:hAnsi="Arial" w:cs="Arial"/>
          <w:color w:val="000000" w:themeColor="text1"/>
          <w:lang w:val="en-AU"/>
        </w:rPr>
        <w:t xml:space="preserve"> </w:t>
      </w:r>
      <w:r>
        <w:rPr>
          <w:rFonts w:ascii="Arial" w:hAnsi="Arial" w:cs="Arial"/>
          <w:color w:val="000000" w:themeColor="text1"/>
          <w:lang w:val="en-AU"/>
        </w:rPr>
        <w:t xml:space="preserve">resource </w:t>
      </w:r>
      <w:r w:rsidRPr="000F1AEB">
        <w:rPr>
          <w:rFonts w:ascii="Arial" w:hAnsi="Arial" w:cs="Arial"/>
          <w:color w:val="000000" w:themeColor="text1"/>
          <w:lang w:val="en-AU"/>
        </w:rPr>
        <w:t>will include teaching and assessment advice that will support teachers to impleme</w:t>
      </w:r>
      <w:r>
        <w:rPr>
          <w:rFonts w:ascii="Arial" w:hAnsi="Arial" w:cs="Arial"/>
          <w:color w:val="000000" w:themeColor="text1"/>
          <w:lang w:val="en-AU"/>
        </w:rPr>
        <w:t>nt the study design effectively</w:t>
      </w:r>
      <w:r w:rsidRPr="000F1AEB">
        <w:rPr>
          <w:rFonts w:ascii="Arial" w:hAnsi="Arial" w:cs="Arial"/>
          <w:color w:val="000000" w:themeColor="text1"/>
          <w:lang w:val="en-AU"/>
        </w:rPr>
        <w:t>.</w:t>
      </w:r>
    </w:p>
    <w:p w14:paraId="607B5AE1" w14:textId="77777777" w:rsidR="00DC77D2" w:rsidRPr="000F1AEB" w:rsidRDefault="00DC77D2" w:rsidP="00DC77D2">
      <w:pPr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Implementation briefings were run in Semester 1, 2015 and the material from these, including presentations, handouts and a recording of one presentation, are available on the VATE website: </w:t>
      </w:r>
      <w:hyperlink r:id="rId11" w:history="1">
        <w:r w:rsidRPr="001D42C1">
          <w:rPr>
            <w:rStyle w:val="Hyperlink"/>
            <w:rFonts w:ascii="Arial" w:hAnsi="Arial" w:cs="Arial"/>
            <w:lang w:val="en-AU"/>
          </w:rPr>
          <w:t>http://www.vate.org.au/index.php/implementation-briefings.html</w:t>
        </w:r>
      </w:hyperlink>
      <w:r>
        <w:rPr>
          <w:rFonts w:ascii="Arial" w:hAnsi="Arial" w:cs="Arial"/>
          <w:color w:val="000000" w:themeColor="text1"/>
          <w:lang w:val="en-AU"/>
        </w:rPr>
        <w:t>.</w:t>
      </w:r>
    </w:p>
    <w:p w14:paraId="607B5AE2" w14:textId="77777777" w:rsidR="00DC77D2" w:rsidRPr="00B87927" w:rsidRDefault="00DC77D2" w:rsidP="00DC77D2">
      <w:pPr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Additional resources, including case studies, will be published on the VCE Bridging EAL study webpage.</w:t>
      </w:r>
    </w:p>
    <w:p w14:paraId="607B5AE3" w14:textId="77777777" w:rsidR="00FD4C72" w:rsidRDefault="00DC77D2" w:rsidP="00DB5A3B">
      <w:pPr>
        <w:pStyle w:val="VCAAHeading4"/>
      </w:pPr>
      <w:r>
        <w:t>Does Bridging EAL contribute to the VCE English requirement?</w:t>
      </w:r>
    </w:p>
    <w:p w14:paraId="607B5AE4" w14:textId="77777777" w:rsidR="009A2547" w:rsidRPr="00DC77D2" w:rsidRDefault="009A2547" w:rsidP="00DC77D2">
      <w:pPr>
        <w:pStyle w:val="VCAAbullet"/>
        <w:rPr>
          <w:lang w:val="en-AU"/>
        </w:rPr>
      </w:pPr>
      <w:r w:rsidRPr="00DC77D2">
        <w:t>Bridging EAL includes a Unit 1 and 2 sequence only. These units can be used to meet the VCE English requirement.</w:t>
      </w:r>
    </w:p>
    <w:p w14:paraId="607B5AE5" w14:textId="77777777" w:rsidR="00FD4C72" w:rsidRDefault="00DC77D2" w:rsidP="00DB5A3B">
      <w:pPr>
        <w:pStyle w:val="VCAAHeading4"/>
      </w:pPr>
      <w:r>
        <w:t xml:space="preserve">Are there prerequisites or eligibility criteria to </w:t>
      </w:r>
      <w:proofErr w:type="spellStart"/>
      <w:r>
        <w:t>enrol</w:t>
      </w:r>
      <w:proofErr w:type="spellEnd"/>
      <w:r>
        <w:t xml:space="preserve"> in Bridging EAL?</w:t>
      </w:r>
    </w:p>
    <w:p w14:paraId="607B5AE6" w14:textId="77777777" w:rsidR="00DC77D2" w:rsidRPr="00DC77D2" w:rsidRDefault="00DC77D2" w:rsidP="00DC77D2">
      <w:pPr>
        <w:pStyle w:val="VCAAbody"/>
      </w:pPr>
      <w:r w:rsidRPr="00DC77D2">
        <w:t xml:space="preserve">There are no prerequisites or eligibility criteria for entry to Bridging EAL. </w:t>
      </w:r>
    </w:p>
    <w:p w14:paraId="607B5AE7" w14:textId="77777777" w:rsidR="00DB5A3B" w:rsidRPr="00A40966" w:rsidRDefault="00771DC0" w:rsidP="00DC77D2">
      <w:pPr>
        <w:pStyle w:val="VCAAbody"/>
      </w:pPr>
      <w:r>
        <w:t>However schools must note: t</w:t>
      </w:r>
      <w:r w:rsidR="00DC77D2" w:rsidRPr="00DC77D2">
        <w:t>here is no presumption that students undertaking this study will be eligible for EAL at English Units 3 and 4. The</w:t>
      </w:r>
      <w:r>
        <w:t xml:space="preserve"> current </w:t>
      </w:r>
      <w:r w:rsidR="00DC77D2" w:rsidRPr="00DC77D2">
        <w:t xml:space="preserve">eligibility criteria for EAL at Units 3 and 4 will apply, as detailed in the </w:t>
      </w:r>
      <w:r w:rsidR="00DC77D2" w:rsidRPr="00771DC0">
        <w:rPr>
          <w:i/>
        </w:rPr>
        <w:t>VCE and VCAL Administrative Handbook</w:t>
      </w:r>
      <w:r w:rsidR="00DC77D2" w:rsidRPr="00DC77D2">
        <w:t>.</w:t>
      </w:r>
    </w:p>
    <w:p w14:paraId="607B5AE8" w14:textId="77777777" w:rsidR="00FD4C72" w:rsidRDefault="00DC77D2" w:rsidP="00DB5A3B">
      <w:pPr>
        <w:pStyle w:val="VCAAHeading4"/>
      </w:pPr>
      <w:r>
        <w:t xml:space="preserve">How does the </w:t>
      </w:r>
      <w:r w:rsidR="003B03A3">
        <w:t xml:space="preserve">detailed </w:t>
      </w:r>
      <w:r w:rsidRPr="003B03A3">
        <w:rPr>
          <w:i/>
        </w:rPr>
        <w:t>Knowledge about language</w:t>
      </w:r>
      <w:r>
        <w:t xml:space="preserve"> relate to </w:t>
      </w:r>
      <w:r w:rsidR="003B03A3">
        <w:t xml:space="preserve">each of the </w:t>
      </w:r>
      <w:r>
        <w:t>areas of study?</w:t>
      </w:r>
    </w:p>
    <w:p w14:paraId="607B5AE9" w14:textId="77777777" w:rsidR="00DC77D2" w:rsidRPr="00DC77D2" w:rsidRDefault="00DC77D2" w:rsidP="00DC77D2">
      <w:pPr>
        <w:pStyle w:val="VCAAbody"/>
      </w:pPr>
      <w:r w:rsidRPr="00DC77D2">
        <w:t>The knowledge listed on p.10 of the study design provides a focus for language instruction across both units and all areas of study</w:t>
      </w:r>
      <w:r w:rsidR="003B03A3">
        <w:t>.</w:t>
      </w:r>
    </w:p>
    <w:p w14:paraId="607B5AEA" w14:textId="77777777" w:rsidR="00DC77D2" w:rsidRPr="00DC77D2" w:rsidRDefault="00DC77D2" w:rsidP="00DC77D2">
      <w:pPr>
        <w:pStyle w:val="VCAAbody"/>
      </w:pPr>
      <w:r w:rsidRPr="00DC77D2">
        <w:t>Students should understand and be able to apply these linguistic concepts by the end of Unit 2.</w:t>
      </w:r>
    </w:p>
    <w:p w14:paraId="607B5AEB" w14:textId="77777777" w:rsidR="00FD4C72" w:rsidRPr="003B03A3" w:rsidRDefault="00DC77D2" w:rsidP="00DB5A3B">
      <w:pPr>
        <w:pStyle w:val="VCAAbody"/>
      </w:pPr>
      <w:r w:rsidRPr="00DC77D2">
        <w:t>The knowledge should be used in conjunction with the key knowledge for each area of study as appropriate.</w:t>
      </w:r>
    </w:p>
    <w:sectPr w:rsidR="00FD4C72" w:rsidRPr="003B03A3" w:rsidSect="00A40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1134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5AEE" w14:textId="77777777" w:rsidR="009A2547" w:rsidRDefault="009A2547" w:rsidP="00304EA1">
      <w:pPr>
        <w:spacing w:after="0" w:line="240" w:lineRule="auto"/>
      </w:pPr>
      <w:r>
        <w:separator/>
      </w:r>
    </w:p>
  </w:endnote>
  <w:endnote w:type="continuationSeparator" w:id="0">
    <w:p w14:paraId="607B5AEF" w14:textId="77777777" w:rsidR="009A2547" w:rsidRDefault="009A254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3054" w14:textId="77777777" w:rsidR="00C929FB" w:rsidRDefault="00C92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5"/>
    </w:tblGrid>
    <w:tr w:rsidR="009A2547" w14:paraId="607B5AF3" w14:textId="77777777" w:rsidTr="00A24B2D">
      <w:trPr>
        <w:trHeight w:val="701"/>
      </w:trPr>
      <w:tc>
        <w:tcPr>
          <w:tcW w:w="2835" w:type="dxa"/>
          <w:vAlign w:val="center"/>
        </w:tcPr>
        <w:p w14:paraId="607B5AF1" w14:textId="77777777" w:rsidR="009A2547" w:rsidRPr="002329F3" w:rsidRDefault="009A254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3685" w:type="dxa"/>
          <w:vAlign w:val="center"/>
        </w:tcPr>
        <w:p w14:paraId="607B5AF2" w14:textId="60D92BC2" w:rsidR="009A2547" w:rsidRPr="00B41951" w:rsidRDefault="009A254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27D9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07B5AF4" w14:textId="77777777" w:rsidR="009A2547" w:rsidRPr="00243F0D" w:rsidRDefault="009A2547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103"/>
      <w:gridCol w:w="1457"/>
    </w:tblGrid>
    <w:tr w:rsidR="009A2547" w14:paraId="607B5AF9" w14:textId="77777777" w:rsidTr="00852719">
      <w:trPr>
        <w:trHeight w:val="709"/>
      </w:trPr>
      <w:tc>
        <w:tcPr>
          <w:tcW w:w="3510" w:type="dxa"/>
          <w:vAlign w:val="center"/>
        </w:tcPr>
        <w:p w14:paraId="607B5AF6" w14:textId="77777777" w:rsidR="009A2547" w:rsidRPr="004A2ED8" w:rsidRDefault="009A2547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5103" w:type="dxa"/>
          <w:shd w:val="clear" w:color="auto" w:fill="auto"/>
          <w:vAlign w:val="center"/>
        </w:tcPr>
        <w:p w14:paraId="607B5AF7" w14:textId="77777777" w:rsidR="009A2547" w:rsidRPr="00B41951" w:rsidRDefault="009A2547" w:rsidP="002329F3">
          <w:pPr>
            <w:pStyle w:val="VCAAbody"/>
            <w:jc w:val="left"/>
            <w:rPr>
              <w:sz w:val="18"/>
              <w:szCs w:val="18"/>
            </w:rPr>
          </w:pPr>
        </w:p>
      </w:tc>
      <w:tc>
        <w:tcPr>
          <w:tcW w:w="1457" w:type="dxa"/>
          <w:vAlign w:val="center"/>
        </w:tcPr>
        <w:p w14:paraId="607B5AF8" w14:textId="326743A9" w:rsidR="009A2547" w:rsidRDefault="00C929FB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E9B7CE4" wp14:editId="6E131BA4">
                <wp:extent cx="649225" cy="367734"/>
                <wp:effectExtent l="0" t="0" r="0" b="0"/>
                <wp:docPr id="1" name="Picture 1" descr="State Government of Victoria insignia" title="Victoria State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V Insignia 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25" cy="367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7B5AFA" w14:textId="77777777" w:rsidR="009A2547" w:rsidRDefault="009A254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B5AEC" w14:textId="77777777" w:rsidR="009A2547" w:rsidRDefault="009A2547" w:rsidP="00304EA1">
      <w:pPr>
        <w:spacing w:after="0" w:line="240" w:lineRule="auto"/>
      </w:pPr>
      <w:r>
        <w:separator/>
      </w:r>
    </w:p>
  </w:footnote>
  <w:footnote w:type="continuationSeparator" w:id="0">
    <w:p w14:paraId="607B5AED" w14:textId="77777777" w:rsidR="009A2547" w:rsidRDefault="009A254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B20E" w14:textId="77777777" w:rsidR="00C929FB" w:rsidRDefault="00C92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DB769356485743EC8750784679E1F34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07B5AF0" w14:textId="67924C67" w:rsidR="009A2547" w:rsidRPr="00D86DE4" w:rsidRDefault="00027D9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Bridging English as an Additional Language 2016–2021                   Frequently asked questions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5AF5" w14:textId="77777777" w:rsidR="009A2547" w:rsidRPr="009370BC" w:rsidRDefault="009A2547" w:rsidP="00243F0D"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607B5AFB" wp14:editId="607B5AFC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951200" cy="36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2B3"/>
    <w:multiLevelType w:val="hybridMultilevel"/>
    <w:tmpl w:val="AE2EAA7E"/>
    <w:lvl w:ilvl="0" w:tplc="1CC6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30A54"/>
    <w:multiLevelType w:val="hybridMultilevel"/>
    <w:tmpl w:val="AE2EAA7E"/>
    <w:lvl w:ilvl="0" w:tplc="1CC6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7417"/>
    <w:multiLevelType w:val="hybridMultilevel"/>
    <w:tmpl w:val="D8802E06"/>
    <w:lvl w:ilvl="0" w:tplc="1FFA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ED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A7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8E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6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6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5F82C84"/>
    <w:multiLevelType w:val="hybridMultilevel"/>
    <w:tmpl w:val="93243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01880"/>
    <w:multiLevelType w:val="hybridMultilevel"/>
    <w:tmpl w:val="4704CC5C"/>
    <w:lvl w:ilvl="0" w:tplc="C08897A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CD"/>
    <w:rsid w:val="00003885"/>
    <w:rsid w:val="00027D9F"/>
    <w:rsid w:val="0005780E"/>
    <w:rsid w:val="00065CC6"/>
    <w:rsid w:val="000A71F7"/>
    <w:rsid w:val="000F09E4"/>
    <w:rsid w:val="000F16FD"/>
    <w:rsid w:val="00147CF0"/>
    <w:rsid w:val="002279BA"/>
    <w:rsid w:val="002329F3"/>
    <w:rsid w:val="00243F0D"/>
    <w:rsid w:val="002647BB"/>
    <w:rsid w:val="002754C1"/>
    <w:rsid w:val="002841C8"/>
    <w:rsid w:val="0028516B"/>
    <w:rsid w:val="002C302B"/>
    <w:rsid w:val="002C6F90"/>
    <w:rsid w:val="002E4FB5"/>
    <w:rsid w:val="00302FB8"/>
    <w:rsid w:val="0030376F"/>
    <w:rsid w:val="00304EA1"/>
    <w:rsid w:val="00314D81"/>
    <w:rsid w:val="00322FC6"/>
    <w:rsid w:val="003873E6"/>
    <w:rsid w:val="00391986"/>
    <w:rsid w:val="003A00B4"/>
    <w:rsid w:val="003A7DC0"/>
    <w:rsid w:val="003B03A3"/>
    <w:rsid w:val="003D4674"/>
    <w:rsid w:val="00417AA3"/>
    <w:rsid w:val="00440B32"/>
    <w:rsid w:val="0046078D"/>
    <w:rsid w:val="004A2ED8"/>
    <w:rsid w:val="004C4EE2"/>
    <w:rsid w:val="004C72CF"/>
    <w:rsid w:val="004F5BDA"/>
    <w:rsid w:val="0051631E"/>
    <w:rsid w:val="00537A1F"/>
    <w:rsid w:val="00566029"/>
    <w:rsid w:val="005923CB"/>
    <w:rsid w:val="005B391B"/>
    <w:rsid w:val="005D3D78"/>
    <w:rsid w:val="005E2EF0"/>
    <w:rsid w:val="006802B5"/>
    <w:rsid w:val="0068471E"/>
    <w:rsid w:val="00684F98"/>
    <w:rsid w:val="00693FFD"/>
    <w:rsid w:val="006D2159"/>
    <w:rsid w:val="006F787C"/>
    <w:rsid w:val="00702636"/>
    <w:rsid w:val="00707B83"/>
    <w:rsid w:val="00724507"/>
    <w:rsid w:val="00771DC0"/>
    <w:rsid w:val="00773E6C"/>
    <w:rsid w:val="00781FB1"/>
    <w:rsid w:val="007E45DE"/>
    <w:rsid w:val="00813C37"/>
    <w:rsid w:val="008154B5"/>
    <w:rsid w:val="00823962"/>
    <w:rsid w:val="00852719"/>
    <w:rsid w:val="00860115"/>
    <w:rsid w:val="008622AF"/>
    <w:rsid w:val="0088783C"/>
    <w:rsid w:val="009370BC"/>
    <w:rsid w:val="0098739B"/>
    <w:rsid w:val="009A2547"/>
    <w:rsid w:val="00A17661"/>
    <w:rsid w:val="00A24B2D"/>
    <w:rsid w:val="00A40966"/>
    <w:rsid w:val="00A921E0"/>
    <w:rsid w:val="00AD0600"/>
    <w:rsid w:val="00AF051B"/>
    <w:rsid w:val="00B04EC2"/>
    <w:rsid w:val="00B0738F"/>
    <w:rsid w:val="00B261AF"/>
    <w:rsid w:val="00B26601"/>
    <w:rsid w:val="00B41951"/>
    <w:rsid w:val="00B53229"/>
    <w:rsid w:val="00B62480"/>
    <w:rsid w:val="00B81B70"/>
    <w:rsid w:val="00BD0724"/>
    <w:rsid w:val="00BE5521"/>
    <w:rsid w:val="00C210C7"/>
    <w:rsid w:val="00C53263"/>
    <w:rsid w:val="00C75F1D"/>
    <w:rsid w:val="00C929FB"/>
    <w:rsid w:val="00D338E4"/>
    <w:rsid w:val="00D51947"/>
    <w:rsid w:val="00D532F0"/>
    <w:rsid w:val="00D77413"/>
    <w:rsid w:val="00D82759"/>
    <w:rsid w:val="00D86DE4"/>
    <w:rsid w:val="00D91E92"/>
    <w:rsid w:val="00DB5A3B"/>
    <w:rsid w:val="00DC77D2"/>
    <w:rsid w:val="00E05DCD"/>
    <w:rsid w:val="00E1126F"/>
    <w:rsid w:val="00E23F1D"/>
    <w:rsid w:val="00E36361"/>
    <w:rsid w:val="00E55AE9"/>
    <w:rsid w:val="00F40D53"/>
    <w:rsid w:val="00F4525C"/>
    <w:rsid w:val="00F50D86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7B5ADC"/>
  <w15:docId w15:val="{B7E3339E-C0AA-496B-865F-CD11A7B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qFormat/>
    <w:rsid w:val="00E05D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AF051B"/>
    <w:pPr>
      <w:spacing w:before="120" w:after="120" w:line="280" w:lineRule="exact"/>
      <w:jc w:val="both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DC77D2"/>
    <w:pPr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D91E92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DB5A3B"/>
    <w:pPr>
      <w:spacing w:line="280" w:lineRule="exact"/>
    </w:pPr>
    <w:rPr>
      <w:color w:val="548DD4" w:themeColor="text2" w:themeTint="99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  <w:jc w:val="lef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FD4C72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65C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E4FB5"/>
    <w:pPr>
      <w:jc w:val="center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E05DCD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 w:eastAsia="zh-CN"/>
    </w:rPr>
  </w:style>
  <w:style w:type="paragraph" w:styleId="ListParagraph">
    <w:name w:val="List Paragraph"/>
    <w:basedOn w:val="Normal"/>
    <w:uiPriority w:val="34"/>
    <w:qFormat/>
    <w:rsid w:val="00E05DC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E05DCD"/>
    <w:pPr>
      <w:spacing w:line="240" w:lineRule="auto"/>
    </w:pPr>
    <w:rPr>
      <w:rFonts w:ascii="Cambria" w:eastAsia="MS Gothic" w:hAnsi="Cambria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DCD"/>
    <w:rPr>
      <w:rFonts w:ascii="Cambria" w:eastAsia="MS Gothic" w:hAnsi="Cambria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te.org.au/index.php/implementation-briefing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69356485743EC8750784679E1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9CAF-26F5-4085-8D25-240F1FADCE13}"/>
      </w:docPartPr>
      <w:docPartBody>
        <w:p w:rsidR="008A75D7" w:rsidRDefault="008A75D7">
          <w:pPr>
            <w:pStyle w:val="DB769356485743EC8750784679E1F346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7"/>
    <w:rsid w:val="006A416C"/>
    <w:rsid w:val="008A75D7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6994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769356485743EC8750784679E1F346">
    <w:name w:val="DB769356485743EC8750784679E1F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706E-4529-4F8C-AC71-B638BDE1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823B9-8C10-4317-A388-B8E08A78E64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60F00F-727E-4DD0-BE71-910B67115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A6A10-88AC-4242-B074-69A2E86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Bridging English as an Additional Language 2016–2018                   Frequently asked questions</vt:lpstr>
    </vt:vector>
  </TitlesOfParts>
  <Company>Victorian Curriculum and Assessment Authority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Bridging English as an Additional Language 2016–2021                   Frequently asked questions</dc:title>
  <dc:subject>Briding English as an Additional Language</dc:subject>
  <dc:creator/>
  <cp:keywords>VCE, Bridging EAL, Units 1 and 2, study, summary</cp:keywords>
  <cp:lastModifiedBy>Coleman, Julie J</cp:lastModifiedBy>
  <cp:revision>3</cp:revision>
  <cp:lastPrinted>2014-06-13T04:51:00Z</cp:lastPrinted>
  <dcterms:created xsi:type="dcterms:W3CDTF">2020-05-13T04:58:00Z</dcterms:created>
  <dcterms:modified xsi:type="dcterms:W3CDTF">2020-05-13T05:00:00Z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Order">
    <vt:r8>2808300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fad5814e62747ed9f131defefc62dac">
    <vt:lpwstr/>
  </property>
  <property fmtid="{D5CDD505-2E9C-101B-9397-08002B2CF9AE}" pid="12" name="a319977fc8504e09982f090ae1d7c602">
    <vt:lpwstr>Page|eb523acf-a821-456c-a76b-7607578309d7</vt:lpwstr>
  </property>
  <property fmtid="{D5CDD505-2E9C-101B-9397-08002B2CF9AE}" pid="13" name="b1688cb4a3a940449dc8286705012a42">
    <vt:lpwstr/>
  </property>
  <property fmtid="{D5CDD505-2E9C-101B-9397-08002B2CF9AE}" pid="14" name="TaxCatchAll">
    <vt:lpwstr>40;#Page|eb523acf-a821-456c-a76b-7607578309d7;#25;#VCAA|ae0180aa-7478-4220-a827-32d8158f8b8e</vt:lpwstr>
  </property>
  <property fmtid="{D5CDD505-2E9C-101B-9397-08002B2CF9AE}" pid="15" name="ofbb8b9a280a423a91cf717fb81349cd">
    <vt:lpwstr>VCAA|ae0180aa-7478-4220-a827-32d8158f8b8e</vt:lpwstr>
  </property>
</Properties>
</file>