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Default="00131E0B" w:rsidP="009B61E5">
      <w:pPr>
        <w:pStyle w:val="VCAADocumenttitle"/>
      </w:pPr>
      <w:r>
        <w:t>Further Mathematics Unit 4</w:t>
      </w:r>
    </w:p>
    <w:p w:rsidR="00F048B6" w:rsidRPr="00F048B6" w:rsidRDefault="00B81F93" w:rsidP="00F048B6">
      <w:pPr>
        <w:pStyle w:val="VCAAHeading2"/>
      </w:pPr>
      <w:bookmarkStart w:id="0" w:name="TemplateOverview"/>
      <w:bookmarkEnd w:id="0"/>
      <w:r>
        <w:t>Graphs and relations m</w:t>
      </w:r>
      <w:r w:rsidR="00131E0B">
        <w:t>odule</w:t>
      </w:r>
      <w:r w:rsidR="00483BF0">
        <w:t xml:space="preserve"> s</w:t>
      </w:r>
      <w:r w:rsidR="00F048B6" w:rsidRPr="00F048B6">
        <w:t>ample</w:t>
      </w:r>
      <w:r w:rsidR="00F048B6" w:rsidRPr="002A1FFA">
        <w:rPr>
          <w:lang w:val="en-AU"/>
        </w:rPr>
        <w:t xml:space="preserve"> </w:t>
      </w:r>
      <w:r w:rsidR="00F45A6F">
        <w:rPr>
          <w:lang w:val="en-AU"/>
        </w:rPr>
        <w:t>learning activity</w:t>
      </w:r>
      <w:r w:rsidR="003F5E48">
        <w:t xml:space="preserve"> </w:t>
      </w:r>
      <w:r w:rsidR="002A51FF">
        <w:t xml:space="preserve">– </w:t>
      </w:r>
      <w:r>
        <w:t>constraints, regions and objectives</w:t>
      </w:r>
    </w:p>
    <w:p w:rsidR="00F048B6" w:rsidRPr="00F048B6" w:rsidRDefault="00F048B6" w:rsidP="00F048B6">
      <w:pPr>
        <w:pStyle w:val="VCAAHeading4"/>
      </w:pPr>
      <w:r w:rsidRPr="00F048B6">
        <w:t>Introduction</w:t>
      </w:r>
    </w:p>
    <w:p w:rsidR="002A1FFA" w:rsidRPr="002506D4" w:rsidRDefault="00F84828" w:rsidP="00F048B6">
      <w:pPr>
        <w:pStyle w:val="VCAAbody"/>
      </w:pPr>
      <w:r>
        <w:rPr>
          <w:lang w:val="en-AU"/>
        </w:rPr>
        <w:t xml:space="preserve">This </w:t>
      </w:r>
      <w:r w:rsidR="00B81F93">
        <w:rPr>
          <w:lang w:val="en-AU"/>
        </w:rPr>
        <w:t>activity</w:t>
      </w:r>
      <w:r>
        <w:rPr>
          <w:lang w:val="en-AU"/>
        </w:rPr>
        <w:t xml:space="preserve"> explores setting up and solving </w:t>
      </w:r>
      <w:r w:rsidR="00B81F93">
        <w:rPr>
          <w:lang w:val="en-AU"/>
        </w:rPr>
        <w:t xml:space="preserve">problems </w:t>
      </w:r>
      <w:r w:rsidR="00465575">
        <w:rPr>
          <w:lang w:val="en-AU"/>
        </w:rPr>
        <w:t xml:space="preserve">in contexts that are </w:t>
      </w:r>
      <w:r w:rsidR="00B81F93">
        <w:rPr>
          <w:lang w:val="en-AU"/>
        </w:rPr>
        <w:t>amenable to linear programming</w:t>
      </w:r>
      <w:r>
        <w:rPr>
          <w:lang w:val="en-AU"/>
        </w:rPr>
        <w:t>.</w:t>
      </w:r>
      <w:r w:rsidR="002506D4">
        <w:rPr>
          <w:lang w:val="en-AU"/>
        </w:rPr>
        <w:t xml:space="preserve"> Sample contexts can be obtained from various sources such as: </w:t>
      </w:r>
      <w:hyperlink r:id="rId9" w:history="1">
        <w:r w:rsidR="004E51DA">
          <w:rPr>
            <w:rStyle w:val="Hyperlink"/>
            <w:lang w:val="en-AU"/>
          </w:rPr>
          <w:t>http://www.cimt.org.uk/projects/mepres/alevel/discrete_ch5.pdf</w:t>
        </w:r>
      </w:hyperlink>
      <w:r w:rsidR="002506D4">
        <w:t xml:space="preserve"> </w:t>
      </w:r>
      <w:r w:rsidR="00085B77">
        <w:t xml:space="preserve"> and </w:t>
      </w:r>
      <w:bookmarkStart w:id="1" w:name="_GoBack"/>
      <w:bookmarkEnd w:id="1"/>
      <w:r w:rsidR="004E51DA">
        <w:fldChar w:fldCharType="begin"/>
      </w:r>
      <w:r w:rsidR="004E51DA">
        <w:instrText xml:space="preserve"> HYPERLINK "https://www.math.ucla.edu/~tom/LP.pdf" </w:instrText>
      </w:r>
      <w:r w:rsidR="004E51DA">
        <w:fldChar w:fldCharType="separate"/>
      </w:r>
      <w:r w:rsidR="00085B77" w:rsidRPr="001C15B8">
        <w:rPr>
          <w:rStyle w:val="Hyperlink"/>
        </w:rPr>
        <w:t>https://www.math.ucla.edu/~tom/LP.pdf</w:t>
      </w:r>
      <w:r w:rsidR="004E51DA">
        <w:rPr>
          <w:rStyle w:val="Hyperlink"/>
        </w:rPr>
        <w:fldChar w:fldCharType="end"/>
      </w:r>
      <w:r w:rsidR="00085B77">
        <w:t xml:space="preserve"> </w:t>
      </w:r>
      <w:r w:rsidR="00F1227C">
        <w:t xml:space="preserve">. Students should use technology as applicable to solve problems. </w:t>
      </w:r>
    </w:p>
    <w:p w:rsidR="00AA6B06" w:rsidRPr="00F048B6" w:rsidRDefault="00AA6B06" w:rsidP="00AA6B06">
      <w:pPr>
        <w:pStyle w:val="VCAAHeading4"/>
      </w:pPr>
      <w:r w:rsidRPr="00F048B6">
        <w:t>Part 1</w:t>
      </w:r>
    </w:p>
    <w:p w:rsidR="00C42DEF" w:rsidRDefault="00085B77" w:rsidP="00BB0C6F">
      <w:pPr>
        <w:pStyle w:val="VCAAbody"/>
        <w:rPr>
          <w:lang w:val="en-AU"/>
        </w:rPr>
      </w:pPr>
      <w:r>
        <w:rPr>
          <w:lang w:val="en-AU"/>
        </w:rPr>
        <w:t>Consider a context for which a linear programmi</w:t>
      </w:r>
      <w:r w:rsidR="00842EBC">
        <w:rPr>
          <w:lang w:val="en-AU"/>
        </w:rPr>
        <w:t>ng solution has been obtained. For this context c</w:t>
      </w:r>
      <w:r>
        <w:rPr>
          <w:lang w:val="en-AU"/>
        </w:rPr>
        <w:t>learly identify:</w:t>
      </w:r>
    </w:p>
    <w:p w:rsidR="00842EBC" w:rsidRPr="00842EBC" w:rsidRDefault="00842EBC" w:rsidP="00BB0C6F">
      <w:pPr>
        <w:pStyle w:val="VCAAnumbers"/>
        <w:numPr>
          <w:ilvl w:val="0"/>
          <w:numId w:val="23"/>
        </w:numPr>
        <w:rPr>
          <w:lang w:val="en-AU"/>
        </w:rPr>
      </w:pPr>
      <w:r>
        <w:rPr>
          <w:lang w:val="en-AU"/>
        </w:rPr>
        <w:t>variables and constraints</w:t>
      </w:r>
    </w:p>
    <w:p w:rsidR="00842EBC" w:rsidRDefault="00842EBC" w:rsidP="00BB0C6F">
      <w:pPr>
        <w:pStyle w:val="VCAAnumbers"/>
        <w:numPr>
          <w:ilvl w:val="0"/>
          <w:numId w:val="23"/>
        </w:numPr>
        <w:rPr>
          <w:lang w:val="en-AU"/>
        </w:rPr>
      </w:pPr>
      <w:r>
        <w:rPr>
          <w:lang w:val="en-AU"/>
        </w:rPr>
        <w:t>the feasible region and its boundaries</w:t>
      </w:r>
    </w:p>
    <w:p w:rsidR="00842EBC" w:rsidRDefault="00842EBC" w:rsidP="00BB0C6F">
      <w:pPr>
        <w:pStyle w:val="VCAAnumbers"/>
        <w:numPr>
          <w:ilvl w:val="0"/>
          <w:numId w:val="23"/>
        </w:numPr>
        <w:rPr>
          <w:lang w:val="en-AU"/>
        </w:rPr>
      </w:pPr>
      <w:r>
        <w:rPr>
          <w:lang w:val="en-AU"/>
        </w:rPr>
        <w:t>the objective function and solutions for maximum and minimum values</w:t>
      </w:r>
    </w:p>
    <w:p w:rsidR="00C42DEF" w:rsidRPr="00C940DA" w:rsidRDefault="00C42DEF" w:rsidP="00BB0C6F">
      <w:pPr>
        <w:pStyle w:val="VCAAbody"/>
        <w:rPr>
          <w:lang w:val="en-AU"/>
        </w:rPr>
      </w:pPr>
      <w:r w:rsidRPr="00842EBC">
        <w:rPr>
          <w:lang w:val="en-AU"/>
        </w:rPr>
        <w:t xml:space="preserve">Can a solution to the problem </w:t>
      </w:r>
      <w:r w:rsidR="00842EBC">
        <w:rPr>
          <w:lang w:val="en-AU"/>
        </w:rPr>
        <w:t>lie outside the feasible region</w:t>
      </w:r>
      <w:r w:rsidRPr="00842EBC">
        <w:rPr>
          <w:lang w:val="en-AU"/>
        </w:rPr>
        <w:t>?</w:t>
      </w:r>
      <w:r w:rsidR="00842EBC">
        <w:rPr>
          <w:lang w:val="en-AU"/>
        </w:rPr>
        <w:t xml:space="preserve"> </w:t>
      </w:r>
      <w:r>
        <w:rPr>
          <w:lang w:val="en-AU"/>
        </w:rPr>
        <w:t>Is there o</w:t>
      </w:r>
      <w:r w:rsidR="00842EBC">
        <w:rPr>
          <w:lang w:val="en-AU"/>
        </w:rPr>
        <w:t xml:space="preserve">nly one solution to a problem? </w:t>
      </w:r>
      <w:r w:rsidR="003E3455">
        <w:rPr>
          <w:lang w:val="en-AU"/>
        </w:rPr>
        <w:t>When should t</w:t>
      </w:r>
      <w:r w:rsidR="00842EBC">
        <w:rPr>
          <w:lang w:val="en-AU"/>
        </w:rPr>
        <w:t>he solution have integer values</w:t>
      </w:r>
      <w:r w:rsidR="003E3455">
        <w:rPr>
          <w:lang w:val="en-AU"/>
        </w:rPr>
        <w:t>?</w:t>
      </w:r>
    </w:p>
    <w:p w:rsidR="00F048B6" w:rsidRPr="00F048B6" w:rsidRDefault="00AA6B06" w:rsidP="00F048B6">
      <w:pPr>
        <w:pStyle w:val="VCAAHeading4"/>
      </w:pPr>
      <w:r>
        <w:t>Part 2</w:t>
      </w:r>
    </w:p>
    <w:p w:rsidR="00F048B6" w:rsidRPr="00C940DA" w:rsidRDefault="00810F42" w:rsidP="00BB0C6F">
      <w:pPr>
        <w:pStyle w:val="VCAAbody"/>
        <w:rPr>
          <w:lang w:val="en-AU"/>
        </w:rPr>
      </w:pPr>
      <w:r>
        <w:rPr>
          <w:lang w:val="en-AU"/>
        </w:rPr>
        <w:t>Being able to formulate</w:t>
      </w:r>
      <w:r w:rsidR="00F1227C">
        <w:rPr>
          <w:lang w:val="en-AU"/>
        </w:rPr>
        <w:t xml:space="preserve"> a set of</w:t>
      </w:r>
      <w:r w:rsidR="000B4D67">
        <w:rPr>
          <w:lang w:val="en-AU"/>
        </w:rPr>
        <w:t xml:space="preserve"> inequalities </w:t>
      </w:r>
      <w:r w:rsidR="00842EBC">
        <w:rPr>
          <w:lang w:val="en-AU"/>
        </w:rPr>
        <w:t xml:space="preserve">to define constraints </w:t>
      </w:r>
      <w:r w:rsidR="00F1227C">
        <w:rPr>
          <w:lang w:val="en-AU"/>
        </w:rPr>
        <w:t xml:space="preserve">and identify a feasible region </w:t>
      </w:r>
      <w:r w:rsidR="000B4D67">
        <w:rPr>
          <w:lang w:val="en-AU"/>
        </w:rPr>
        <w:t xml:space="preserve">is an important part of the linear programming process. </w:t>
      </w:r>
      <w:r w:rsidR="00F1227C">
        <w:t xml:space="preserve">Use </w:t>
      </w:r>
      <w:r w:rsidR="002B0980">
        <w:t>various</w:t>
      </w:r>
      <w:r w:rsidR="00F1227C">
        <w:t xml:space="preserve"> set</w:t>
      </w:r>
      <w:r w:rsidR="002B0980">
        <w:t>s</w:t>
      </w:r>
      <w:r w:rsidR="00F1227C">
        <w:t xml:space="preserve"> of constraints </w:t>
      </w:r>
      <w:r w:rsidR="00033090">
        <w:t xml:space="preserve">and contexts </w:t>
      </w:r>
      <w:r w:rsidR="00F1227C">
        <w:t>to:</w:t>
      </w:r>
    </w:p>
    <w:p w:rsidR="0010511D" w:rsidRPr="00810F42" w:rsidRDefault="00033090" w:rsidP="00BB0C6F">
      <w:pPr>
        <w:pStyle w:val="VCAAnumbers"/>
        <w:numPr>
          <w:ilvl w:val="0"/>
          <w:numId w:val="25"/>
        </w:numPr>
        <w:rPr>
          <w:lang w:val="en-AU"/>
        </w:rPr>
      </w:pPr>
      <w:r w:rsidRPr="00810F42">
        <w:rPr>
          <w:lang w:val="en-AU"/>
        </w:rPr>
        <w:t>formulate</w:t>
      </w:r>
      <w:r w:rsidR="00F1227C" w:rsidRPr="00810F42">
        <w:rPr>
          <w:lang w:val="en-AU"/>
        </w:rPr>
        <w:t xml:space="preserve"> set</w:t>
      </w:r>
      <w:r w:rsidR="00810F42" w:rsidRPr="00810F42">
        <w:rPr>
          <w:lang w:val="en-AU"/>
        </w:rPr>
        <w:t>s</w:t>
      </w:r>
      <w:r w:rsidR="00F1227C" w:rsidRPr="00810F42">
        <w:rPr>
          <w:lang w:val="en-AU"/>
        </w:rPr>
        <w:t xml:space="preserve"> of </w:t>
      </w:r>
      <w:r w:rsidR="000B4D67" w:rsidRPr="00810F42">
        <w:rPr>
          <w:lang w:val="en-AU"/>
        </w:rPr>
        <w:t xml:space="preserve"> inequalities </w:t>
      </w:r>
    </w:p>
    <w:p w:rsidR="005F4705" w:rsidRPr="00810F42" w:rsidRDefault="00033090" w:rsidP="00BB0C6F">
      <w:pPr>
        <w:pStyle w:val="VCAAnumbers"/>
        <w:numPr>
          <w:ilvl w:val="0"/>
          <w:numId w:val="25"/>
        </w:numPr>
        <w:rPr>
          <w:lang w:val="en-AU"/>
        </w:rPr>
      </w:pPr>
      <w:r w:rsidRPr="00810F42">
        <w:rPr>
          <w:lang w:val="en-AU"/>
        </w:rPr>
        <w:t xml:space="preserve">construct feasible regions and draw </w:t>
      </w:r>
      <w:r w:rsidR="006A4FDF">
        <w:rPr>
          <w:lang w:val="en-AU"/>
        </w:rPr>
        <w:t>graphs</w:t>
      </w:r>
      <w:r w:rsidRPr="00810F42">
        <w:rPr>
          <w:lang w:val="en-AU"/>
        </w:rPr>
        <w:t xml:space="preserve"> of these</w:t>
      </w:r>
    </w:p>
    <w:p w:rsidR="000B4D67" w:rsidRPr="00BB0C6F" w:rsidRDefault="00412D43" w:rsidP="00BB0C6F">
      <w:pPr>
        <w:pStyle w:val="VCAAnumbers"/>
        <w:numPr>
          <w:ilvl w:val="0"/>
          <w:numId w:val="25"/>
        </w:numPr>
        <w:rPr>
          <w:lang w:val="en-AU"/>
        </w:rPr>
      </w:pPr>
      <w:r w:rsidRPr="00810F42">
        <w:rPr>
          <w:lang w:val="en-AU"/>
        </w:rPr>
        <w:t>verify</w:t>
      </w:r>
      <w:r w:rsidR="000B4D67" w:rsidRPr="00810F42">
        <w:rPr>
          <w:lang w:val="en-AU"/>
        </w:rPr>
        <w:t xml:space="preserve"> </w:t>
      </w:r>
      <w:r w:rsidR="00033090" w:rsidRPr="00810F42">
        <w:rPr>
          <w:lang w:val="en-AU"/>
        </w:rPr>
        <w:t>when</w:t>
      </w:r>
      <w:r w:rsidR="000B4D67" w:rsidRPr="00810F42">
        <w:rPr>
          <w:lang w:val="en-AU"/>
        </w:rPr>
        <w:t xml:space="preserve"> </w:t>
      </w:r>
      <w:r w:rsidR="008F0E5D" w:rsidRPr="00810F42">
        <w:rPr>
          <w:lang w:val="en-AU"/>
        </w:rPr>
        <w:t xml:space="preserve">points </w:t>
      </w:r>
      <w:r w:rsidR="00033090" w:rsidRPr="00810F42">
        <w:rPr>
          <w:lang w:val="en-AU"/>
        </w:rPr>
        <w:t>are inside, outside, or on the boundary of t</w:t>
      </w:r>
      <w:r w:rsidR="000B4D67" w:rsidRPr="00810F42">
        <w:rPr>
          <w:lang w:val="en-AU"/>
        </w:rPr>
        <w:t>he feasible re</w:t>
      </w:r>
      <w:r w:rsidRPr="00810F42">
        <w:rPr>
          <w:lang w:val="en-AU"/>
        </w:rPr>
        <w:t>gion for these contexts</w:t>
      </w:r>
    </w:p>
    <w:p w:rsidR="00BF6ACD" w:rsidRPr="00F048B6" w:rsidRDefault="00AA6B06" w:rsidP="00BF6ACD">
      <w:pPr>
        <w:pStyle w:val="VCAAHeading4"/>
      </w:pPr>
      <w:r>
        <w:t>Part 3</w:t>
      </w:r>
    </w:p>
    <w:p w:rsidR="00810F42" w:rsidRPr="00BB0C6F" w:rsidRDefault="00810F42" w:rsidP="00BB0C6F">
      <w:pPr>
        <w:pStyle w:val="VCAAbody"/>
        <w:rPr>
          <w:lang w:val="en-AU"/>
        </w:rPr>
      </w:pPr>
      <w:r>
        <w:rPr>
          <w:lang w:val="en-AU"/>
        </w:rPr>
        <w:t>Consider graphs of various feasible regions</w:t>
      </w:r>
      <w:r w:rsidR="000B4D67">
        <w:rPr>
          <w:lang w:val="en-AU"/>
        </w:rPr>
        <w:t xml:space="preserve">. </w:t>
      </w:r>
      <w:r>
        <w:rPr>
          <w:lang w:val="en-AU"/>
        </w:rPr>
        <w:t>For each of these:</w:t>
      </w:r>
    </w:p>
    <w:p w:rsidR="00810F42" w:rsidRDefault="00810F42" w:rsidP="00BB0C6F">
      <w:pPr>
        <w:pStyle w:val="VCAAnumbers"/>
        <w:numPr>
          <w:ilvl w:val="0"/>
          <w:numId w:val="26"/>
        </w:numPr>
        <w:rPr>
          <w:rFonts w:eastAsia="Calibri"/>
          <w:lang w:val="en-AU"/>
        </w:rPr>
      </w:pPr>
      <w:r>
        <w:rPr>
          <w:rFonts w:eastAsia="Calibri"/>
          <w:lang w:val="en-AU"/>
        </w:rPr>
        <w:t>formulate a set of constraints that produce a given feasible region</w:t>
      </w:r>
    </w:p>
    <w:p w:rsidR="00810F42" w:rsidRDefault="00810F42" w:rsidP="00BB0C6F">
      <w:pPr>
        <w:pStyle w:val="VCAAnumbers"/>
        <w:numPr>
          <w:ilvl w:val="0"/>
          <w:numId w:val="26"/>
        </w:numPr>
        <w:rPr>
          <w:rFonts w:eastAsia="Calibri"/>
          <w:lang w:val="en-AU"/>
        </w:rPr>
      </w:pPr>
      <w:r>
        <w:rPr>
          <w:rFonts w:eastAsia="Calibri"/>
          <w:lang w:val="en-AU"/>
        </w:rPr>
        <w:t xml:space="preserve">determine the coordinates of the corner points </w:t>
      </w:r>
    </w:p>
    <w:p w:rsidR="00853DCE" w:rsidRPr="00BB0C6F" w:rsidRDefault="00810F42" w:rsidP="00BB0C6F">
      <w:pPr>
        <w:pStyle w:val="VCAAnumbers"/>
        <w:numPr>
          <w:ilvl w:val="0"/>
          <w:numId w:val="26"/>
        </w:numPr>
        <w:rPr>
          <w:rFonts w:eastAsia="Calibri"/>
          <w:lang w:val="en-AU"/>
        </w:rPr>
      </w:pPr>
      <w:r>
        <w:rPr>
          <w:rFonts w:eastAsia="Calibri"/>
          <w:lang w:val="en-AU"/>
        </w:rPr>
        <w:t xml:space="preserve">identify the </w:t>
      </w:r>
      <w:r w:rsidR="00853DCE">
        <w:rPr>
          <w:rFonts w:eastAsia="Calibri"/>
          <w:lang w:val="en-AU"/>
        </w:rPr>
        <w:t xml:space="preserve">points with </w:t>
      </w:r>
      <w:r>
        <w:rPr>
          <w:rFonts w:eastAsia="Calibri"/>
          <w:lang w:val="en-AU"/>
        </w:rPr>
        <w:t xml:space="preserve">integer </w:t>
      </w:r>
      <w:r w:rsidR="00853DCE">
        <w:rPr>
          <w:rFonts w:eastAsia="Calibri"/>
          <w:lang w:val="en-AU"/>
        </w:rPr>
        <w:t>coordinates in</w:t>
      </w:r>
      <w:r>
        <w:rPr>
          <w:rFonts w:eastAsia="Calibri"/>
          <w:lang w:val="en-AU"/>
        </w:rPr>
        <w:t xml:space="preserve"> the feasible region</w:t>
      </w:r>
    </w:p>
    <w:p w:rsidR="005F4705" w:rsidRPr="00F048B6" w:rsidRDefault="00F2434A" w:rsidP="005F4705">
      <w:pPr>
        <w:pStyle w:val="VCAAHeading4"/>
      </w:pPr>
      <w:r>
        <w:t>Part 4</w:t>
      </w:r>
    </w:p>
    <w:p w:rsidR="00853DCE" w:rsidRDefault="00853DCE" w:rsidP="00810BC7">
      <w:pPr>
        <w:pStyle w:val="VCAAbody"/>
        <w:rPr>
          <w:lang w:val="en-AU"/>
        </w:rPr>
      </w:pPr>
      <w:r>
        <w:rPr>
          <w:lang w:val="en-AU"/>
        </w:rPr>
        <w:t>Consider various objective functions for a given feasible region or collection of feasible regions. Use both sliding line and corner point methods to:</w:t>
      </w:r>
    </w:p>
    <w:p w:rsidR="00853DCE" w:rsidRDefault="00853DCE" w:rsidP="00BB0C6F">
      <w:pPr>
        <w:pStyle w:val="VCAAnumbers"/>
        <w:numPr>
          <w:ilvl w:val="0"/>
          <w:numId w:val="28"/>
        </w:numPr>
        <w:rPr>
          <w:lang w:val="en-AU"/>
        </w:rPr>
      </w:pPr>
      <w:r>
        <w:rPr>
          <w:lang w:val="en-AU"/>
        </w:rPr>
        <w:t>find the minimum value of each of the objective functions and the coordinates of the corresponding points</w:t>
      </w:r>
    </w:p>
    <w:p w:rsidR="00853DCE" w:rsidRDefault="00853DCE" w:rsidP="00BB0C6F">
      <w:pPr>
        <w:pStyle w:val="VCAAnumbers"/>
        <w:numPr>
          <w:ilvl w:val="0"/>
          <w:numId w:val="28"/>
        </w:numPr>
        <w:rPr>
          <w:lang w:val="en-AU"/>
        </w:rPr>
      </w:pPr>
      <w:r>
        <w:rPr>
          <w:lang w:val="en-AU"/>
        </w:rPr>
        <w:t>find the maximum value of each of the objective functions and the coordinates of the corresponding points</w:t>
      </w:r>
    </w:p>
    <w:p w:rsidR="00F2434A" w:rsidRPr="00EB58FA" w:rsidRDefault="00853DCE" w:rsidP="00BB0C6F">
      <w:pPr>
        <w:pStyle w:val="VCAAnumbers"/>
        <w:numPr>
          <w:ilvl w:val="0"/>
          <w:numId w:val="28"/>
        </w:numPr>
        <w:rPr>
          <w:rFonts w:eastAsia="Calibri"/>
          <w:lang w:val="en-AU"/>
        </w:rPr>
      </w:pPr>
      <w:r w:rsidRPr="00EB58FA">
        <w:rPr>
          <w:lang w:val="en-AU"/>
        </w:rPr>
        <w:lastRenderedPageBreak/>
        <w:t xml:space="preserve">use </w:t>
      </w:r>
      <w:r w:rsidR="002E6B84">
        <w:rPr>
          <w:lang w:val="en-AU"/>
        </w:rPr>
        <w:t>a linear programming solver</w:t>
      </w:r>
      <w:r w:rsidRPr="00EB58FA">
        <w:rPr>
          <w:lang w:val="en-AU"/>
        </w:rPr>
        <w:t xml:space="preserve"> to check your solutions</w:t>
      </w:r>
      <w:r w:rsidR="00EB58FA" w:rsidRPr="00EB58FA">
        <w:rPr>
          <w:lang w:val="en-AU"/>
        </w:rPr>
        <w:t xml:space="preserve"> such as: </w:t>
      </w:r>
      <w:hyperlink r:id="rId10" w:history="1">
        <w:r w:rsidR="002E6B84" w:rsidRPr="00D950A6">
          <w:rPr>
            <w:rStyle w:val="Hyperlink"/>
            <w:lang w:val="en-AU"/>
          </w:rPr>
          <w:t>http://www.excel-easy.com/data-analysis/solver.html</w:t>
        </w:r>
      </w:hyperlink>
      <w:r w:rsidR="002E6B84">
        <w:rPr>
          <w:lang w:val="en-AU"/>
        </w:rPr>
        <w:t xml:space="preserve"> or </w:t>
      </w:r>
      <w:hyperlink r:id="rId11" w:history="1">
        <w:r w:rsidR="00EB58FA" w:rsidRPr="00D950A6">
          <w:rPr>
            <w:rStyle w:val="Hyperlink"/>
            <w:lang w:val="en-AU"/>
          </w:rPr>
          <w:t>http://www.wolframalpha.com/widget/widgetPopup.jsp?p=v&amp;id=1e692c6f72587b2cbd3e7be018fd8960&amp;title=Linear%20Programming%20Calculator&amp;theme=blue</w:t>
        </w:r>
      </w:hyperlink>
      <w:r w:rsidR="00EB58FA">
        <w:rPr>
          <w:lang w:val="en-AU"/>
        </w:rPr>
        <w:t xml:space="preserve"> </w:t>
      </w:r>
    </w:p>
    <w:p w:rsidR="00F048B6" w:rsidRPr="00F048B6" w:rsidRDefault="00F048B6" w:rsidP="00F048B6">
      <w:pPr>
        <w:pStyle w:val="VCAAHeading4"/>
      </w:pPr>
      <w:r w:rsidRPr="00F048B6">
        <w:t>Areas of study</w:t>
      </w:r>
    </w:p>
    <w:p w:rsidR="00442063" w:rsidRPr="00F048B6" w:rsidRDefault="00F048B6" w:rsidP="00F048B6">
      <w:pPr>
        <w:pStyle w:val="VCAAbody"/>
        <w:rPr>
          <w:lang w:val="en-AU"/>
        </w:rPr>
      </w:pPr>
      <w:r w:rsidRPr="00F048B6">
        <w:rPr>
          <w:lang w:val="en-AU"/>
        </w:rPr>
        <w:t>The following content from the areas of study is addressed through this task.</w:t>
      </w: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</w:tblGrid>
      <w:tr w:rsidR="00F048B6" w:rsidRPr="00E6479A" w:rsidTr="00625C6D">
        <w:tc>
          <w:tcPr>
            <w:tcW w:w="5637" w:type="dxa"/>
            <w:shd w:val="clear" w:color="auto" w:fill="auto"/>
          </w:tcPr>
          <w:p w:rsidR="00F048B6" w:rsidRPr="00E6479A" w:rsidRDefault="00F048B6" w:rsidP="00E6479A">
            <w:pPr>
              <w:pStyle w:val="VCAAtablecondensed"/>
              <w:rPr>
                <w:b/>
                <w:lang w:val="en-AU"/>
              </w:rPr>
            </w:pPr>
            <w:r w:rsidRPr="00E6479A">
              <w:rPr>
                <w:b/>
                <w:lang w:val="en-AU"/>
              </w:rPr>
              <w:t>Area of study</w:t>
            </w:r>
          </w:p>
        </w:tc>
        <w:tc>
          <w:tcPr>
            <w:tcW w:w="3402" w:type="dxa"/>
            <w:shd w:val="clear" w:color="auto" w:fill="auto"/>
          </w:tcPr>
          <w:p w:rsidR="00F048B6" w:rsidRPr="00E6479A" w:rsidRDefault="00F048B6" w:rsidP="00E6479A">
            <w:pPr>
              <w:pStyle w:val="VCAAtablecondensed"/>
              <w:rPr>
                <w:b/>
                <w:lang w:val="en-AU"/>
              </w:rPr>
            </w:pPr>
            <w:r w:rsidRPr="00E6479A">
              <w:rPr>
                <w:b/>
                <w:lang w:val="en-AU"/>
              </w:rPr>
              <w:t>Content dot point</w:t>
            </w:r>
            <w:r w:rsidR="00625C6D">
              <w:rPr>
                <w:b/>
                <w:lang w:val="en-AU"/>
              </w:rPr>
              <w:t>s</w:t>
            </w:r>
          </w:p>
        </w:tc>
      </w:tr>
      <w:tr w:rsidR="00F048B6" w:rsidRPr="00E6479A" w:rsidTr="00625C6D">
        <w:tc>
          <w:tcPr>
            <w:tcW w:w="5637" w:type="dxa"/>
            <w:shd w:val="clear" w:color="auto" w:fill="auto"/>
          </w:tcPr>
          <w:p w:rsidR="00F048B6" w:rsidRPr="00E6479A" w:rsidRDefault="00400135" w:rsidP="00AA6B0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Module</w:t>
            </w:r>
            <w:r w:rsidR="00625C6D">
              <w:rPr>
                <w:lang w:val="en-AU"/>
              </w:rPr>
              <w:t xml:space="preserve"> – </w:t>
            </w:r>
            <w:r w:rsidR="00B81F93">
              <w:rPr>
                <w:lang w:val="en-AU"/>
              </w:rPr>
              <w:t>Graphs and</w:t>
            </w:r>
            <w:r w:rsidR="00AA6B06">
              <w:rPr>
                <w:lang w:val="en-AU"/>
              </w:rPr>
              <w:t xml:space="preserve"> relations </w:t>
            </w:r>
            <w:r w:rsidR="00625C6D">
              <w:rPr>
                <w:lang w:val="en-AU"/>
              </w:rPr>
              <w:t xml:space="preserve">: </w:t>
            </w:r>
            <w:r w:rsidR="00AA6B06">
              <w:rPr>
                <w:i/>
                <w:lang w:val="en-AU"/>
              </w:rPr>
              <w:t>Linear programming</w:t>
            </w:r>
          </w:p>
        </w:tc>
        <w:tc>
          <w:tcPr>
            <w:tcW w:w="3402" w:type="dxa"/>
            <w:shd w:val="clear" w:color="auto" w:fill="auto"/>
          </w:tcPr>
          <w:p w:rsidR="00F048B6" w:rsidRPr="00E6479A" w:rsidRDefault="00D54A0D" w:rsidP="00E6479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 1</w:t>
            </w:r>
            <w:r w:rsidR="00400135">
              <w:rPr>
                <w:lang w:val="en-AU"/>
              </w:rPr>
              <w:t xml:space="preserve">, 2, </w:t>
            </w:r>
            <w:r w:rsidR="00AA6B06">
              <w:rPr>
                <w:lang w:val="en-AU"/>
              </w:rPr>
              <w:t xml:space="preserve">3, </w:t>
            </w:r>
            <w:r w:rsidR="00400135">
              <w:rPr>
                <w:lang w:val="en-AU"/>
              </w:rPr>
              <w:t>4,</w:t>
            </w:r>
            <w:r w:rsidR="00AA6B06">
              <w:rPr>
                <w:lang w:val="en-AU"/>
              </w:rPr>
              <w:t xml:space="preserve"> 5</w:t>
            </w:r>
            <w:r w:rsidR="00400135">
              <w:rPr>
                <w:lang w:val="en-AU"/>
              </w:rPr>
              <w:t xml:space="preserve"> </w:t>
            </w:r>
          </w:p>
        </w:tc>
      </w:tr>
    </w:tbl>
    <w:p w:rsidR="00F048B6" w:rsidRPr="00F048B6" w:rsidRDefault="00F048B6" w:rsidP="00F048B6">
      <w:pPr>
        <w:spacing w:after="160"/>
        <w:rPr>
          <w:rFonts w:ascii="Calibri" w:eastAsia="Calibri" w:hAnsi="Calibri"/>
          <w:lang w:val="en-AU"/>
        </w:rPr>
      </w:pPr>
    </w:p>
    <w:p w:rsidR="00F048B6" w:rsidRPr="00F048B6" w:rsidRDefault="00F048B6" w:rsidP="00F048B6">
      <w:pPr>
        <w:spacing w:after="160" w:line="259" w:lineRule="auto"/>
        <w:rPr>
          <w:rFonts w:ascii="Calibri" w:eastAsia="Calibri" w:hAnsi="Calibri"/>
          <w:b/>
          <w:sz w:val="24"/>
          <w:szCs w:val="24"/>
          <w:lang w:val="en-AU"/>
        </w:rPr>
      </w:pPr>
    </w:p>
    <w:p w:rsidR="00F048B6" w:rsidRPr="00F048B6" w:rsidRDefault="00F048B6" w:rsidP="00F048B6">
      <w:pPr>
        <w:pStyle w:val="VCAAHeading4"/>
      </w:pPr>
      <w:r w:rsidRPr="00F048B6">
        <w:t>Outcomes</w:t>
      </w:r>
    </w:p>
    <w:p w:rsidR="00F048B6" w:rsidRPr="00F048B6" w:rsidRDefault="00F048B6" w:rsidP="00F048B6">
      <w:pPr>
        <w:pStyle w:val="VCAAbody"/>
        <w:rPr>
          <w:lang w:val="en-AU"/>
        </w:rPr>
      </w:pPr>
      <w:r w:rsidRPr="00F048B6">
        <w:rPr>
          <w:lang w:val="en-AU"/>
        </w:rPr>
        <w:t>The following outcomes, key knowledge and key skills are addressed through this task.</w:t>
      </w:r>
    </w:p>
    <w:tbl>
      <w:tblPr>
        <w:tblpPr w:leftFromText="180" w:rightFromText="180" w:vertAnchor="text" w:horzAnchor="margin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376"/>
        <w:gridCol w:w="3377"/>
      </w:tblGrid>
      <w:tr w:rsidR="00E6479A" w:rsidRPr="00E6479A" w:rsidTr="00E6479A">
        <w:trPr>
          <w:trHeight w:val="510"/>
        </w:trPr>
        <w:tc>
          <w:tcPr>
            <w:tcW w:w="2263" w:type="dxa"/>
            <w:shd w:val="clear" w:color="auto" w:fill="auto"/>
          </w:tcPr>
          <w:p w:rsidR="00F048B6" w:rsidRPr="00E6479A" w:rsidRDefault="00F048B6" w:rsidP="00E6479A">
            <w:pPr>
              <w:pStyle w:val="VCAAtablecondensed"/>
              <w:rPr>
                <w:b/>
                <w:lang w:val="en-AU"/>
              </w:rPr>
            </w:pPr>
            <w:r w:rsidRPr="00E6479A">
              <w:rPr>
                <w:b/>
                <w:lang w:val="en-AU"/>
              </w:rPr>
              <w:t>Outcome</w:t>
            </w:r>
          </w:p>
        </w:tc>
        <w:tc>
          <w:tcPr>
            <w:tcW w:w="3376" w:type="dxa"/>
            <w:shd w:val="clear" w:color="auto" w:fill="auto"/>
          </w:tcPr>
          <w:p w:rsidR="00F048B6" w:rsidRPr="00E6479A" w:rsidRDefault="00F048B6" w:rsidP="00E6479A">
            <w:pPr>
              <w:pStyle w:val="VCAAtablecondensed"/>
              <w:rPr>
                <w:b/>
                <w:lang w:val="en-AU"/>
              </w:rPr>
            </w:pPr>
            <w:r w:rsidRPr="00E6479A">
              <w:rPr>
                <w:b/>
                <w:lang w:val="en-AU"/>
              </w:rPr>
              <w:t>Key knowledge dot point</w:t>
            </w:r>
          </w:p>
        </w:tc>
        <w:tc>
          <w:tcPr>
            <w:tcW w:w="3377" w:type="dxa"/>
            <w:shd w:val="clear" w:color="auto" w:fill="auto"/>
          </w:tcPr>
          <w:p w:rsidR="00F048B6" w:rsidRPr="00E6479A" w:rsidRDefault="00F048B6" w:rsidP="00E6479A">
            <w:pPr>
              <w:pStyle w:val="VCAAtablecondensed"/>
              <w:rPr>
                <w:b/>
                <w:lang w:val="en-AU"/>
              </w:rPr>
            </w:pPr>
            <w:r w:rsidRPr="00E6479A">
              <w:rPr>
                <w:b/>
                <w:lang w:val="en-AU"/>
              </w:rPr>
              <w:t>Key skill dot point</w:t>
            </w:r>
          </w:p>
        </w:tc>
      </w:tr>
      <w:tr w:rsidR="00E6479A" w:rsidRPr="00E6479A" w:rsidTr="00E6479A">
        <w:trPr>
          <w:trHeight w:val="510"/>
        </w:trPr>
        <w:tc>
          <w:tcPr>
            <w:tcW w:w="2263" w:type="dxa"/>
            <w:shd w:val="clear" w:color="auto" w:fill="auto"/>
          </w:tcPr>
          <w:p w:rsidR="00F048B6" w:rsidRPr="00E6479A" w:rsidRDefault="00F048B6" w:rsidP="00E6479A">
            <w:pPr>
              <w:pStyle w:val="VCAAtablecondensed"/>
              <w:rPr>
                <w:b/>
                <w:lang w:val="en-AU"/>
              </w:rPr>
            </w:pPr>
            <w:r w:rsidRPr="00E6479A">
              <w:rPr>
                <w:b/>
                <w:lang w:val="en-AU"/>
              </w:rPr>
              <w:t>1</w:t>
            </w:r>
          </w:p>
        </w:tc>
        <w:tc>
          <w:tcPr>
            <w:tcW w:w="3376" w:type="dxa"/>
            <w:shd w:val="clear" w:color="auto" w:fill="auto"/>
          </w:tcPr>
          <w:p w:rsidR="00F048B6" w:rsidRPr="00E6479A" w:rsidRDefault="00AA6B06" w:rsidP="00E6479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6, 7, 8, 9</w:t>
            </w:r>
          </w:p>
        </w:tc>
        <w:tc>
          <w:tcPr>
            <w:tcW w:w="3377" w:type="dxa"/>
            <w:shd w:val="clear" w:color="auto" w:fill="auto"/>
          </w:tcPr>
          <w:p w:rsidR="00F048B6" w:rsidRPr="00E6479A" w:rsidRDefault="00AA6B06" w:rsidP="00E6479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7, 8</w:t>
            </w:r>
          </w:p>
        </w:tc>
      </w:tr>
      <w:tr w:rsidR="00E6479A" w:rsidRPr="00E6479A" w:rsidTr="00E6479A">
        <w:trPr>
          <w:trHeight w:val="510"/>
        </w:trPr>
        <w:tc>
          <w:tcPr>
            <w:tcW w:w="2263" w:type="dxa"/>
            <w:shd w:val="clear" w:color="auto" w:fill="auto"/>
          </w:tcPr>
          <w:p w:rsidR="00F048B6" w:rsidRPr="00E6479A" w:rsidRDefault="00F048B6" w:rsidP="00E6479A">
            <w:pPr>
              <w:pStyle w:val="VCAAtablecondensed"/>
              <w:rPr>
                <w:b/>
                <w:lang w:val="en-AU"/>
              </w:rPr>
            </w:pPr>
            <w:r w:rsidRPr="00E6479A">
              <w:rPr>
                <w:b/>
                <w:lang w:val="en-AU"/>
              </w:rPr>
              <w:t>2</w:t>
            </w:r>
          </w:p>
        </w:tc>
        <w:tc>
          <w:tcPr>
            <w:tcW w:w="3376" w:type="dxa"/>
            <w:shd w:val="clear" w:color="auto" w:fill="auto"/>
          </w:tcPr>
          <w:p w:rsidR="00F048B6" w:rsidRPr="00E6479A" w:rsidRDefault="00272D89" w:rsidP="00E6479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400135">
              <w:rPr>
                <w:lang w:val="en-AU"/>
              </w:rPr>
              <w:t xml:space="preserve">, </w:t>
            </w:r>
            <w:r w:rsidR="00AA6B06">
              <w:rPr>
                <w:lang w:val="en-AU"/>
              </w:rPr>
              <w:t xml:space="preserve">2, </w:t>
            </w:r>
            <w:r w:rsidR="00400135">
              <w:rPr>
                <w:lang w:val="en-AU"/>
              </w:rPr>
              <w:t>3, 4</w:t>
            </w:r>
          </w:p>
        </w:tc>
        <w:tc>
          <w:tcPr>
            <w:tcW w:w="3377" w:type="dxa"/>
            <w:shd w:val="clear" w:color="auto" w:fill="auto"/>
          </w:tcPr>
          <w:p w:rsidR="00F048B6" w:rsidRPr="00E6479A" w:rsidRDefault="00400135" w:rsidP="00E6479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1, </w:t>
            </w:r>
            <w:r w:rsidR="00272D89">
              <w:rPr>
                <w:lang w:val="en-AU"/>
              </w:rPr>
              <w:t>2</w:t>
            </w:r>
            <w:r>
              <w:rPr>
                <w:lang w:val="en-AU"/>
              </w:rPr>
              <w:t>, 3, 4</w:t>
            </w:r>
          </w:p>
        </w:tc>
      </w:tr>
      <w:tr w:rsidR="00E6479A" w:rsidRPr="00E6479A" w:rsidTr="00E6479A">
        <w:trPr>
          <w:trHeight w:val="510"/>
        </w:trPr>
        <w:tc>
          <w:tcPr>
            <w:tcW w:w="2263" w:type="dxa"/>
            <w:shd w:val="clear" w:color="auto" w:fill="auto"/>
          </w:tcPr>
          <w:p w:rsidR="00F048B6" w:rsidRPr="00E6479A" w:rsidRDefault="00F048B6" w:rsidP="00E6479A">
            <w:pPr>
              <w:pStyle w:val="VCAAtablecondensed"/>
              <w:rPr>
                <w:b/>
                <w:lang w:val="en-AU"/>
              </w:rPr>
            </w:pPr>
            <w:r w:rsidRPr="00E6479A">
              <w:rPr>
                <w:b/>
                <w:lang w:val="en-AU"/>
              </w:rPr>
              <w:t>3</w:t>
            </w:r>
          </w:p>
        </w:tc>
        <w:tc>
          <w:tcPr>
            <w:tcW w:w="3376" w:type="dxa"/>
            <w:shd w:val="clear" w:color="auto" w:fill="auto"/>
          </w:tcPr>
          <w:p w:rsidR="00F048B6" w:rsidRPr="00E6479A" w:rsidRDefault="00AA6B06" w:rsidP="00E6479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2, 3, 4</w:t>
            </w:r>
          </w:p>
        </w:tc>
        <w:tc>
          <w:tcPr>
            <w:tcW w:w="3377" w:type="dxa"/>
            <w:shd w:val="clear" w:color="auto" w:fill="auto"/>
          </w:tcPr>
          <w:p w:rsidR="00F048B6" w:rsidRPr="00E6479A" w:rsidRDefault="00AA6B06" w:rsidP="00E6479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5, 6</w:t>
            </w:r>
            <w:r w:rsidR="00400135">
              <w:rPr>
                <w:lang w:val="en-AU"/>
              </w:rPr>
              <w:t xml:space="preserve">, </w:t>
            </w:r>
            <w:r>
              <w:rPr>
                <w:lang w:val="en-AU"/>
              </w:rPr>
              <w:t>8, 9</w:t>
            </w:r>
          </w:p>
        </w:tc>
      </w:tr>
    </w:tbl>
    <w:p w:rsidR="00F048B6" w:rsidRPr="00F048B6" w:rsidRDefault="00F048B6" w:rsidP="00F048B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b/>
          <w:lang w:val="en-AU"/>
        </w:rPr>
      </w:pPr>
    </w:p>
    <w:p w:rsidR="00C53263" w:rsidRDefault="00C53263" w:rsidP="002647BB">
      <w:pPr>
        <w:pStyle w:val="VCAAcaptionsandfootnotes"/>
        <w:rPr>
          <w:noProof/>
        </w:rPr>
      </w:pPr>
    </w:p>
    <w:sectPr w:rsidR="00C53263" w:rsidSect="009705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FA" w:rsidRDefault="00EB58FA" w:rsidP="00304EA1">
      <w:pPr>
        <w:spacing w:after="0" w:line="240" w:lineRule="auto"/>
      </w:pPr>
      <w:r>
        <w:separator/>
      </w:r>
    </w:p>
  </w:endnote>
  <w:endnote w:type="continuationSeparator" w:id="0">
    <w:p w:rsidR="00EB58FA" w:rsidRDefault="00EB58F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AB" w:rsidRDefault="00743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FA" w:rsidRPr="00243F0D" w:rsidRDefault="00EB58FA" w:rsidP="00E6479A">
    <w:pPr>
      <w:pStyle w:val="VCAAcaptionsandfootnotes"/>
      <w:tabs>
        <w:tab w:val="center" w:pos="4819"/>
      </w:tabs>
    </w:pPr>
    <w:r w:rsidRPr="00E6479A">
      <w:rPr>
        <w:color w:val="999999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ab/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E51DA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FA" w:rsidRDefault="00EB58FA" w:rsidP="00E6479A">
    <w:pPr>
      <w:pStyle w:val="VCAAcaptionsandfootnotes"/>
      <w:tabs>
        <w:tab w:val="right" w:pos="9639"/>
      </w:tabs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743AAB">
      <w:rPr>
        <w:rStyle w:val="Hyperlink"/>
        <w:u w:val="none"/>
      </w:rPr>
      <w:tab/>
    </w:r>
    <w:r w:rsidRPr="00970580">
      <w:t xml:space="preserve"> </w:t>
    </w:r>
    <w:r>
      <w:rPr>
        <w:noProof/>
        <w:lang w:val="en-AU" w:eastAsia="en-AU"/>
      </w:rPr>
      <w:drawing>
        <wp:inline distT="0" distB="0" distL="0" distR="0">
          <wp:extent cx="647700" cy="368300"/>
          <wp:effectExtent l="0" t="0" r="12700" b="12700"/>
          <wp:docPr id="2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tate Government of Victoria insignia" title="Victoria State Govern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FA" w:rsidRDefault="00EB58FA" w:rsidP="00304EA1">
      <w:pPr>
        <w:spacing w:after="0" w:line="240" w:lineRule="auto"/>
      </w:pPr>
      <w:r>
        <w:separator/>
      </w:r>
    </w:p>
  </w:footnote>
  <w:footnote w:type="continuationSeparator" w:id="0">
    <w:p w:rsidR="00EB58FA" w:rsidRDefault="00EB58F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AB" w:rsidRDefault="0074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FA" w:rsidRPr="00E6479A" w:rsidRDefault="00EB58FA" w:rsidP="00743AAB">
    <w:pPr>
      <w:pStyle w:val="VCAAcaptionsandfootnotes"/>
      <w:spacing w:after="240"/>
      <w:rPr>
        <w:color w:val="999999"/>
      </w:rPr>
    </w:pPr>
    <w:r>
      <w:rPr>
        <w:color w:val="999999"/>
        <w:lang w:val="en-AU"/>
      </w:rPr>
      <w:t>Further Mathematics</w:t>
    </w:r>
    <w:r w:rsidRPr="00E6479A">
      <w:rPr>
        <w:color w:val="999999"/>
        <w:lang w:val="en-AU"/>
      </w:rPr>
      <w:t xml:space="preserve"> Unit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FA" w:rsidRPr="009370BC" w:rsidRDefault="00EB58FA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>
          <wp:extent cx="2159000" cy="406274"/>
          <wp:effectExtent l="0" t="0" r="0" b="635"/>
          <wp:docPr id="1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logo and registered trademark of Victorian Curriculum and Assessment Authority logo" title="Victorian Curriculum and Assessment Authorit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D2B"/>
    <w:multiLevelType w:val="hybridMultilevel"/>
    <w:tmpl w:val="C368E54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513"/>
    <w:multiLevelType w:val="hybridMultilevel"/>
    <w:tmpl w:val="751AE7F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5753F"/>
    <w:multiLevelType w:val="hybridMultilevel"/>
    <w:tmpl w:val="5C42A64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43BCC"/>
    <w:multiLevelType w:val="hybridMultilevel"/>
    <w:tmpl w:val="FD184A3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C7649"/>
    <w:multiLevelType w:val="hybridMultilevel"/>
    <w:tmpl w:val="E9667F3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0"/>
    <w:multiLevelType w:val="hybridMultilevel"/>
    <w:tmpl w:val="FD184A3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186164"/>
    <w:multiLevelType w:val="hybridMultilevel"/>
    <w:tmpl w:val="02C81A6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72E51"/>
    <w:multiLevelType w:val="hybridMultilevel"/>
    <w:tmpl w:val="4650F3D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179"/>
    <w:multiLevelType w:val="hybridMultilevel"/>
    <w:tmpl w:val="FD184A3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B25010"/>
    <w:multiLevelType w:val="hybridMultilevel"/>
    <w:tmpl w:val="7B2A9F2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582642"/>
    <w:multiLevelType w:val="hybridMultilevel"/>
    <w:tmpl w:val="FD184A3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0B3F30"/>
    <w:multiLevelType w:val="hybridMultilevel"/>
    <w:tmpl w:val="890C34A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E331CF"/>
    <w:multiLevelType w:val="hybridMultilevel"/>
    <w:tmpl w:val="011A999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0239FE"/>
    <w:multiLevelType w:val="hybridMultilevel"/>
    <w:tmpl w:val="5C42A64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2D75FB"/>
    <w:multiLevelType w:val="hybridMultilevel"/>
    <w:tmpl w:val="890C34A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51084B"/>
    <w:multiLevelType w:val="hybridMultilevel"/>
    <w:tmpl w:val="B35414E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>
    <w:nsid w:val="67A735CE"/>
    <w:multiLevelType w:val="hybridMultilevel"/>
    <w:tmpl w:val="5A4C997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9780B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146446"/>
    <w:multiLevelType w:val="hybridMultilevel"/>
    <w:tmpl w:val="211EC7C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C1C65"/>
    <w:multiLevelType w:val="hybridMultilevel"/>
    <w:tmpl w:val="E92E3F2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7"/>
  </w:num>
  <w:num w:numId="5">
    <w:abstractNumId w:val="19"/>
  </w:num>
  <w:num w:numId="6">
    <w:abstractNumId w:val="24"/>
  </w:num>
  <w:num w:numId="7">
    <w:abstractNumId w:val="0"/>
  </w:num>
  <w:num w:numId="8">
    <w:abstractNumId w:val="12"/>
  </w:num>
  <w:num w:numId="9">
    <w:abstractNumId w:val="14"/>
  </w:num>
  <w:num w:numId="10">
    <w:abstractNumId w:val="16"/>
  </w:num>
  <w:num w:numId="11">
    <w:abstractNumId w:val="15"/>
  </w:num>
  <w:num w:numId="12">
    <w:abstractNumId w:val="14"/>
  </w:num>
  <w:num w:numId="13">
    <w:abstractNumId w:val="22"/>
  </w:num>
  <w:num w:numId="14">
    <w:abstractNumId w:val="8"/>
  </w:num>
  <w:num w:numId="15">
    <w:abstractNumId w:val="6"/>
  </w:num>
  <w:num w:numId="16">
    <w:abstractNumId w:val="21"/>
  </w:num>
  <w:num w:numId="17">
    <w:abstractNumId w:val="2"/>
  </w:num>
  <w:num w:numId="18">
    <w:abstractNumId w:val="17"/>
  </w:num>
  <w:num w:numId="19">
    <w:abstractNumId w:val="4"/>
  </w:num>
  <w:num w:numId="20">
    <w:abstractNumId w:val="1"/>
  </w:num>
  <w:num w:numId="21">
    <w:abstractNumId w:val="23"/>
  </w:num>
  <w:num w:numId="22">
    <w:abstractNumId w:val="13"/>
  </w:num>
  <w:num w:numId="23">
    <w:abstractNumId w:val="11"/>
  </w:num>
  <w:num w:numId="24">
    <w:abstractNumId w:val="14"/>
  </w:num>
  <w:num w:numId="25">
    <w:abstractNumId w:val="3"/>
  </w:num>
  <w:num w:numId="26">
    <w:abstractNumId w:val="9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20"/>
    <w:rsid w:val="00001B78"/>
    <w:rsid w:val="00003885"/>
    <w:rsid w:val="000141E3"/>
    <w:rsid w:val="00025876"/>
    <w:rsid w:val="00033090"/>
    <w:rsid w:val="0005780E"/>
    <w:rsid w:val="00065CC6"/>
    <w:rsid w:val="00085B77"/>
    <w:rsid w:val="000A71F7"/>
    <w:rsid w:val="000B4D67"/>
    <w:rsid w:val="000F09E4"/>
    <w:rsid w:val="000F16FD"/>
    <w:rsid w:val="0010511D"/>
    <w:rsid w:val="00113A3F"/>
    <w:rsid w:val="00127AF3"/>
    <w:rsid w:val="00131E0B"/>
    <w:rsid w:val="00171EA1"/>
    <w:rsid w:val="0017348F"/>
    <w:rsid w:val="001C65C0"/>
    <w:rsid w:val="001D25CB"/>
    <w:rsid w:val="001E7533"/>
    <w:rsid w:val="00213098"/>
    <w:rsid w:val="002279BA"/>
    <w:rsid w:val="002329F3"/>
    <w:rsid w:val="00243F0D"/>
    <w:rsid w:val="002506D4"/>
    <w:rsid w:val="00253A68"/>
    <w:rsid w:val="00261D24"/>
    <w:rsid w:val="002647BB"/>
    <w:rsid w:val="00272D89"/>
    <w:rsid w:val="00274F96"/>
    <w:rsid w:val="002754C1"/>
    <w:rsid w:val="002841C8"/>
    <w:rsid w:val="0028516B"/>
    <w:rsid w:val="002A1FFA"/>
    <w:rsid w:val="002A3445"/>
    <w:rsid w:val="002A51FF"/>
    <w:rsid w:val="002B0980"/>
    <w:rsid w:val="002C3A61"/>
    <w:rsid w:val="002C5B93"/>
    <w:rsid w:val="002C6F90"/>
    <w:rsid w:val="002E4FB5"/>
    <w:rsid w:val="002E6B84"/>
    <w:rsid w:val="00302FB8"/>
    <w:rsid w:val="00304EA1"/>
    <w:rsid w:val="00314D81"/>
    <w:rsid w:val="00322FC6"/>
    <w:rsid w:val="0035293F"/>
    <w:rsid w:val="00391986"/>
    <w:rsid w:val="003A00B4"/>
    <w:rsid w:val="003E3455"/>
    <w:rsid w:val="003F5E48"/>
    <w:rsid w:val="00400135"/>
    <w:rsid w:val="00412D43"/>
    <w:rsid w:val="00417AA3"/>
    <w:rsid w:val="00440B32"/>
    <w:rsid w:val="00442063"/>
    <w:rsid w:val="0045662B"/>
    <w:rsid w:val="0046078D"/>
    <w:rsid w:val="00465575"/>
    <w:rsid w:val="00477319"/>
    <w:rsid w:val="00483BF0"/>
    <w:rsid w:val="004A2ED8"/>
    <w:rsid w:val="004E4C85"/>
    <w:rsid w:val="004E51DA"/>
    <w:rsid w:val="004F1594"/>
    <w:rsid w:val="004F5BDA"/>
    <w:rsid w:val="004F7A7E"/>
    <w:rsid w:val="0051631E"/>
    <w:rsid w:val="005231EB"/>
    <w:rsid w:val="00536A7E"/>
    <w:rsid w:val="00537A1F"/>
    <w:rsid w:val="00566029"/>
    <w:rsid w:val="005923CB"/>
    <w:rsid w:val="005A182B"/>
    <w:rsid w:val="005B391B"/>
    <w:rsid w:val="005B75BC"/>
    <w:rsid w:val="005D3D78"/>
    <w:rsid w:val="005E2EF0"/>
    <w:rsid w:val="005F4705"/>
    <w:rsid w:val="0061319D"/>
    <w:rsid w:val="00625C6D"/>
    <w:rsid w:val="00625CC4"/>
    <w:rsid w:val="006374E6"/>
    <w:rsid w:val="0068471E"/>
    <w:rsid w:val="00684F98"/>
    <w:rsid w:val="00693FFD"/>
    <w:rsid w:val="006A4FDF"/>
    <w:rsid w:val="006C687C"/>
    <w:rsid w:val="006D2159"/>
    <w:rsid w:val="006D42AC"/>
    <w:rsid w:val="006F34EF"/>
    <w:rsid w:val="006F787C"/>
    <w:rsid w:val="00702636"/>
    <w:rsid w:val="00724507"/>
    <w:rsid w:val="00743AAB"/>
    <w:rsid w:val="00773E6C"/>
    <w:rsid w:val="00781FB1"/>
    <w:rsid w:val="0078440D"/>
    <w:rsid w:val="007C2E23"/>
    <w:rsid w:val="00810BC7"/>
    <w:rsid w:val="00810F42"/>
    <w:rsid w:val="00813C37"/>
    <w:rsid w:val="008154B5"/>
    <w:rsid w:val="00823962"/>
    <w:rsid w:val="00831A71"/>
    <w:rsid w:val="00842EBC"/>
    <w:rsid w:val="00845020"/>
    <w:rsid w:val="00852719"/>
    <w:rsid w:val="00853DCE"/>
    <w:rsid w:val="00860115"/>
    <w:rsid w:val="00872B9C"/>
    <w:rsid w:val="0088783C"/>
    <w:rsid w:val="0089793D"/>
    <w:rsid w:val="008F0E5D"/>
    <w:rsid w:val="00916E76"/>
    <w:rsid w:val="009370BC"/>
    <w:rsid w:val="00960CFC"/>
    <w:rsid w:val="00970580"/>
    <w:rsid w:val="0098739B"/>
    <w:rsid w:val="009B61E5"/>
    <w:rsid w:val="009D1E89"/>
    <w:rsid w:val="00A02768"/>
    <w:rsid w:val="00A17661"/>
    <w:rsid w:val="00A24B2D"/>
    <w:rsid w:val="00A40966"/>
    <w:rsid w:val="00A45788"/>
    <w:rsid w:val="00A921E0"/>
    <w:rsid w:val="00AA6B06"/>
    <w:rsid w:val="00AA6B3D"/>
    <w:rsid w:val="00AF051B"/>
    <w:rsid w:val="00B01578"/>
    <w:rsid w:val="00B0738F"/>
    <w:rsid w:val="00B26601"/>
    <w:rsid w:val="00B41951"/>
    <w:rsid w:val="00B4609C"/>
    <w:rsid w:val="00B53229"/>
    <w:rsid w:val="00B62480"/>
    <w:rsid w:val="00B81B70"/>
    <w:rsid w:val="00B81F93"/>
    <w:rsid w:val="00BB0C6F"/>
    <w:rsid w:val="00BD0724"/>
    <w:rsid w:val="00BD2B91"/>
    <w:rsid w:val="00BE5521"/>
    <w:rsid w:val="00BF6ACD"/>
    <w:rsid w:val="00C0051B"/>
    <w:rsid w:val="00C42DEF"/>
    <w:rsid w:val="00C53263"/>
    <w:rsid w:val="00C75F1D"/>
    <w:rsid w:val="00C868C2"/>
    <w:rsid w:val="00C940DA"/>
    <w:rsid w:val="00CA14EC"/>
    <w:rsid w:val="00CB68E8"/>
    <w:rsid w:val="00CB6A64"/>
    <w:rsid w:val="00CD460D"/>
    <w:rsid w:val="00D04F01"/>
    <w:rsid w:val="00D338E4"/>
    <w:rsid w:val="00D51947"/>
    <w:rsid w:val="00D532F0"/>
    <w:rsid w:val="00D54A0D"/>
    <w:rsid w:val="00D619B8"/>
    <w:rsid w:val="00D649CC"/>
    <w:rsid w:val="00D74D70"/>
    <w:rsid w:val="00D77413"/>
    <w:rsid w:val="00D82759"/>
    <w:rsid w:val="00D86DE4"/>
    <w:rsid w:val="00DE5805"/>
    <w:rsid w:val="00E23F1D"/>
    <w:rsid w:val="00E36361"/>
    <w:rsid w:val="00E52C83"/>
    <w:rsid w:val="00E55AE9"/>
    <w:rsid w:val="00E6479A"/>
    <w:rsid w:val="00EB58FA"/>
    <w:rsid w:val="00F048B6"/>
    <w:rsid w:val="00F1227C"/>
    <w:rsid w:val="00F2434A"/>
    <w:rsid w:val="00F40D53"/>
    <w:rsid w:val="00F4525C"/>
    <w:rsid w:val="00F45A6F"/>
    <w:rsid w:val="00F50D86"/>
    <w:rsid w:val="00F568BE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 w:after="200" w:line="276" w:lineRule="auto"/>
      <w:outlineLvl w:val="1"/>
    </w:pPr>
    <w:rPr>
      <w:rFonts w:cs="Arial"/>
      <w:b/>
      <w:color w:val="000000"/>
      <w:sz w:val="40"/>
      <w:szCs w:val="40"/>
      <w:lang w:val="en-US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B01578"/>
    <w:pPr>
      <w:spacing w:before="120" w:after="120" w:line="280" w:lineRule="exact"/>
    </w:pPr>
    <w:rPr>
      <w:rFonts w:cs="Arial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31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  <w:sz w:val="22"/>
      <w:szCs w:val="22"/>
      <w:lang w:val="en-US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16FD"/>
    <w:rPr>
      <w:color w:val="727272"/>
    </w:rPr>
    <w:tblPr>
      <w:tblStyleRowBandSize w:val="1"/>
      <w:tblStyleColBandSize w:val="1"/>
      <w:tblInd w:w="0" w:type="dxa"/>
      <w:tblBorders>
        <w:top w:val="single" w:sz="8" w:space="0" w:color="999999"/>
        <w:bottom w:val="single" w:sz="8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/>
          <w:left w:val="nil"/>
          <w:bottom w:val="single" w:sz="8" w:space="0" w:color="9999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/>
          <w:left w:val="nil"/>
          <w:bottom w:val="single" w:sz="8" w:space="0" w:color="9999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4">
    <w:name w:val="Light Shading Accent 4"/>
    <w:basedOn w:val="TableNormal"/>
    <w:uiPriority w:val="60"/>
    <w:rsid w:val="000F16FD"/>
    <w:rPr>
      <w:color w:val="69962C"/>
    </w:rPr>
    <w:tblPr>
      <w:tblStyleRowBandSize w:val="1"/>
      <w:tblStyleColBandSize w:val="1"/>
      <w:tblInd w:w="0" w:type="dxa"/>
      <w:tblBorders>
        <w:top w:val="single" w:sz="8" w:space="0" w:color="8DC63F"/>
        <w:bottom w:val="single" w:sz="8" w:space="0" w:color="8DC63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/>
      </w:tcPr>
    </w:tblStylePr>
  </w:style>
  <w:style w:type="table" w:styleId="LightShading-Accent5">
    <w:name w:val="Light Shading Accent 5"/>
    <w:basedOn w:val="TableNormal"/>
    <w:uiPriority w:val="60"/>
    <w:rsid w:val="000F16FD"/>
    <w:rPr>
      <w:color w:val="C86A07"/>
    </w:rPr>
    <w:tblPr>
      <w:tblStyleRowBandSize w:val="1"/>
      <w:tblStyleColBandSize w:val="1"/>
      <w:tblInd w:w="0" w:type="dxa"/>
      <w:tblBorders>
        <w:top w:val="single" w:sz="8" w:space="0" w:color="F78E1E"/>
        <w:bottom w:val="single" w:sz="8" w:space="0" w:color="F78E1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/>
          <w:left w:val="nil"/>
          <w:bottom w:val="single" w:sz="8" w:space="0" w:color="F78E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/>
          <w:left w:val="nil"/>
          <w:bottom w:val="single" w:sz="8" w:space="0" w:color="F78E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/>
      </w:tcPr>
    </w:tblStylePr>
  </w:style>
  <w:style w:type="table" w:styleId="LightShading-Accent6">
    <w:name w:val="Light Shading Accent 6"/>
    <w:basedOn w:val="TableNormal"/>
    <w:uiPriority w:val="60"/>
    <w:rsid w:val="000F16FD"/>
    <w:rPr>
      <w:color w:val="3A5A8B"/>
    </w:rPr>
    <w:tblPr>
      <w:tblStyleRowBandSize w:val="1"/>
      <w:tblStyleColBandSize w:val="1"/>
      <w:tblInd w:w="0" w:type="dxa"/>
      <w:tblBorders>
        <w:top w:val="single" w:sz="8" w:space="0" w:color="517AB7"/>
        <w:bottom w:val="single" w:sz="8" w:space="0" w:color="517A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/>
          <w:left w:val="nil"/>
          <w:bottom w:val="single" w:sz="8" w:space="0" w:color="517AB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/>
          <w:left w:val="nil"/>
          <w:bottom w:val="single" w:sz="8" w:space="0" w:color="517AB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/>
      </w:tcPr>
    </w:tblStylePr>
  </w:style>
  <w:style w:type="table" w:styleId="LightList-Accent1">
    <w:name w:val="Light List Accent 1"/>
    <w:basedOn w:val="TableNormal"/>
    <w:uiPriority w:val="61"/>
    <w:rsid w:val="000F16FD"/>
    <w:tblPr>
      <w:tblStyleRowBandSize w:val="1"/>
      <w:tblStyleColBandSize w:val="1"/>
      <w:tblInd w:w="0" w:type="dxa"/>
      <w:tblBorders>
        <w:top w:val="single" w:sz="8" w:space="0" w:color="0099E3"/>
        <w:left w:val="single" w:sz="8" w:space="0" w:color="0099E3"/>
        <w:bottom w:val="single" w:sz="8" w:space="0" w:color="0099E3"/>
        <w:right w:val="single" w:sz="8" w:space="0" w:color="0099E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9E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/>
          <w:left w:val="single" w:sz="8" w:space="0" w:color="0099E3"/>
          <w:bottom w:val="single" w:sz="8" w:space="0" w:color="0099E3"/>
          <w:right w:val="single" w:sz="8" w:space="0" w:color="0099E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/>
          <w:left w:val="single" w:sz="8" w:space="0" w:color="0099E3"/>
          <w:bottom w:val="single" w:sz="8" w:space="0" w:color="0099E3"/>
          <w:right w:val="single" w:sz="8" w:space="0" w:color="0099E3"/>
        </w:tcBorders>
      </w:tcPr>
    </w:tblStylePr>
    <w:tblStylePr w:type="band1Horz">
      <w:tblPr/>
      <w:tcPr>
        <w:tcBorders>
          <w:top w:val="single" w:sz="8" w:space="0" w:color="0099E3"/>
          <w:left w:val="single" w:sz="8" w:space="0" w:color="0099E3"/>
          <w:bottom w:val="single" w:sz="8" w:space="0" w:color="0099E3"/>
          <w:right w:val="single" w:sz="8" w:space="0" w:color="0099E3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/>
    </w:pPr>
    <w:rPr>
      <w:rFonts w:ascii="Arial Narrow" w:hAnsi="Arial Narrow"/>
      <w:color w:val="000000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b/>
        <w:color w:val="FFFFFF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mbria Math" w:hAnsi="Cambria Math"/>
        <w:b/>
        <w:color w:val="FFFFFF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rPr>
      <w:rFonts w:eastAsia="Times New Roman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F09E4"/>
    <w:rPr>
      <w:color w:val="0000FF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/>
    </w:rPr>
  </w:style>
  <w:style w:type="character" w:customStyle="1" w:styleId="EmphasisBold">
    <w:name w:val="Emphasis (Bold)"/>
    <w:uiPriority w:val="1"/>
    <w:qFormat/>
    <w:rsid w:val="00F50D86"/>
    <w:rPr>
      <w:b/>
    </w:rPr>
  </w:style>
  <w:style w:type="character" w:customStyle="1" w:styleId="TitlesItalics">
    <w:name w:val="Titles (Italics)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cs="Arial"/>
      <w:noProof/>
      <w:color w:val="0099E3"/>
      <w:sz w:val="56"/>
      <w:szCs w:val="48"/>
      <w:lang w:val="en-AU" w:eastAsia="en-AU"/>
    </w:rPr>
  </w:style>
  <w:style w:type="table" w:customStyle="1" w:styleId="TableGrid1">
    <w:name w:val="Table Grid1"/>
    <w:basedOn w:val="TableNormal"/>
    <w:next w:val="TableGrid"/>
    <w:uiPriority w:val="39"/>
    <w:rsid w:val="0047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04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semiHidden/>
    <w:qFormat/>
    <w:rsid w:val="00D649CC"/>
    <w:pPr>
      <w:ind w:left="720"/>
    </w:pPr>
  </w:style>
  <w:style w:type="character" w:styleId="FollowedHyperlink">
    <w:name w:val="FollowedHyperlink"/>
    <w:uiPriority w:val="99"/>
    <w:semiHidden/>
    <w:unhideWhenUsed/>
    <w:rsid w:val="004F15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 w:after="200" w:line="276" w:lineRule="auto"/>
      <w:outlineLvl w:val="1"/>
    </w:pPr>
    <w:rPr>
      <w:rFonts w:cs="Arial"/>
      <w:b/>
      <w:color w:val="000000"/>
      <w:sz w:val="40"/>
      <w:szCs w:val="40"/>
      <w:lang w:val="en-US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B01578"/>
    <w:pPr>
      <w:spacing w:before="120" w:after="120" w:line="280" w:lineRule="exact"/>
    </w:pPr>
    <w:rPr>
      <w:rFonts w:cs="Arial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31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  <w:sz w:val="22"/>
      <w:szCs w:val="22"/>
      <w:lang w:val="en-US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16FD"/>
    <w:rPr>
      <w:color w:val="727272"/>
    </w:rPr>
    <w:tblPr>
      <w:tblStyleRowBandSize w:val="1"/>
      <w:tblStyleColBandSize w:val="1"/>
      <w:tblInd w:w="0" w:type="dxa"/>
      <w:tblBorders>
        <w:top w:val="single" w:sz="8" w:space="0" w:color="999999"/>
        <w:bottom w:val="single" w:sz="8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/>
          <w:left w:val="nil"/>
          <w:bottom w:val="single" w:sz="8" w:space="0" w:color="9999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/>
          <w:left w:val="nil"/>
          <w:bottom w:val="single" w:sz="8" w:space="0" w:color="9999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4">
    <w:name w:val="Light Shading Accent 4"/>
    <w:basedOn w:val="TableNormal"/>
    <w:uiPriority w:val="60"/>
    <w:rsid w:val="000F16FD"/>
    <w:rPr>
      <w:color w:val="69962C"/>
    </w:rPr>
    <w:tblPr>
      <w:tblStyleRowBandSize w:val="1"/>
      <w:tblStyleColBandSize w:val="1"/>
      <w:tblInd w:w="0" w:type="dxa"/>
      <w:tblBorders>
        <w:top w:val="single" w:sz="8" w:space="0" w:color="8DC63F"/>
        <w:bottom w:val="single" w:sz="8" w:space="0" w:color="8DC63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/>
      </w:tcPr>
    </w:tblStylePr>
  </w:style>
  <w:style w:type="table" w:styleId="LightShading-Accent5">
    <w:name w:val="Light Shading Accent 5"/>
    <w:basedOn w:val="TableNormal"/>
    <w:uiPriority w:val="60"/>
    <w:rsid w:val="000F16FD"/>
    <w:rPr>
      <w:color w:val="C86A07"/>
    </w:rPr>
    <w:tblPr>
      <w:tblStyleRowBandSize w:val="1"/>
      <w:tblStyleColBandSize w:val="1"/>
      <w:tblInd w:w="0" w:type="dxa"/>
      <w:tblBorders>
        <w:top w:val="single" w:sz="8" w:space="0" w:color="F78E1E"/>
        <w:bottom w:val="single" w:sz="8" w:space="0" w:color="F78E1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/>
          <w:left w:val="nil"/>
          <w:bottom w:val="single" w:sz="8" w:space="0" w:color="F78E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/>
          <w:left w:val="nil"/>
          <w:bottom w:val="single" w:sz="8" w:space="0" w:color="F78E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/>
      </w:tcPr>
    </w:tblStylePr>
  </w:style>
  <w:style w:type="table" w:styleId="LightShading-Accent6">
    <w:name w:val="Light Shading Accent 6"/>
    <w:basedOn w:val="TableNormal"/>
    <w:uiPriority w:val="60"/>
    <w:rsid w:val="000F16FD"/>
    <w:rPr>
      <w:color w:val="3A5A8B"/>
    </w:rPr>
    <w:tblPr>
      <w:tblStyleRowBandSize w:val="1"/>
      <w:tblStyleColBandSize w:val="1"/>
      <w:tblInd w:w="0" w:type="dxa"/>
      <w:tblBorders>
        <w:top w:val="single" w:sz="8" w:space="0" w:color="517AB7"/>
        <w:bottom w:val="single" w:sz="8" w:space="0" w:color="517A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/>
          <w:left w:val="nil"/>
          <w:bottom w:val="single" w:sz="8" w:space="0" w:color="517AB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/>
          <w:left w:val="nil"/>
          <w:bottom w:val="single" w:sz="8" w:space="0" w:color="517AB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/>
      </w:tcPr>
    </w:tblStylePr>
  </w:style>
  <w:style w:type="table" w:styleId="LightList-Accent1">
    <w:name w:val="Light List Accent 1"/>
    <w:basedOn w:val="TableNormal"/>
    <w:uiPriority w:val="61"/>
    <w:rsid w:val="000F16FD"/>
    <w:tblPr>
      <w:tblStyleRowBandSize w:val="1"/>
      <w:tblStyleColBandSize w:val="1"/>
      <w:tblInd w:w="0" w:type="dxa"/>
      <w:tblBorders>
        <w:top w:val="single" w:sz="8" w:space="0" w:color="0099E3"/>
        <w:left w:val="single" w:sz="8" w:space="0" w:color="0099E3"/>
        <w:bottom w:val="single" w:sz="8" w:space="0" w:color="0099E3"/>
        <w:right w:val="single" w:sz="8" w:space="0" w:color="0099E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9E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/>
          <w:left w:val="single" w:sz="8" w:space="0" w:color="0099E3"/>
          <w:bottom w:val="single" w:sz="8" w:space="0" w:color="0099E3"/>
          <w:right w:val="single" w:sz="8" w:space="0" w:color="0099E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/>
          <w:left w:val="single" w:sz="8" w:space="0" w:color="0099E3"/>
          <w:bottom w:val="single" w:sz="8" w:space="0" w:color="0099E3"/>
          <w:right w:val="single" w:sz="8" w:space="0" w:color="0099E3"/>
        </w:tcBorders>
      </w:tcPr>
    </w:tblStylePr>
    <w:tblStylePr w:type="band1Horz">
      <w:tblPr/>
      <w:tcPr>
        <w:tcBorders>
          <w:top w:val="single" w:sz="8" w:space="0" w:color="0099E3"/>
          <w:left w:val="single" w:sz="8" w:space="0" w:color="0099E3"/>
          <w:bottom w:val="single" w:sz="8" w:space="0" w:color="0099E3"/>
          <w:right w:val="single" w:sz="8" w:space="0" w:color="0099E3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/>
    </w:pPr>
    <w:rPr>
      <w:rFonts w:ascii="Arial Narrow" w:hAnsi="Arial Narrow"/>
      <w:color w:val="000000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b/>
        <w:color w:val="FFFFFF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mbria Math" w:hAnsi="Cambria Math"/>
        <w:b/>
        <w:color w:val="FFFFFF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rPr>
      <w:rFonts w:eastAsia="Times New Roman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F09E4"/>
    <w:rPr>
      <w:color w:val="0000FF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/>
    </w:rPr>
  </w:style>
  <w:style w:type="character" w:customStyle="1" w:styleId="EmphasisBold">
    <w:name w:val="Emphasis (Bold)"/>
    <w:uiPriority w:val="1"/>
    <w:qFormat/>
    <w:rsid w:val="00F50D86"/>
    <w:rPr>
      <w:b/>
    </w:rPr>
  </w:style>
  <w:style w:type="character" w:customStyle="1" w:styleId="TitlesItalics">
    <w:name w:val="Titles (Italics)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cs="Arial"/>
      <w:noProof/>
      <w:color w:val="0099E3"/>
      <w:sz w:val="56"/>
      <w:szCs w:val="48"/>
      <w:lang w:val="en-AU" w:eastAsia="en-AU"/>
    </w:rPr>
  </w:style>
  <w:style w:type="table" w:customStyle="1" w:styleId="TableGrid1">
    <w:name w:val="Table Grid1"/>
    <w:basedOn w:val="TableNormal"/>
    <w:next w:val="TableGrid"/>
    <w:uiPriority w:val="39"/>
    <w:rsid w:val="0047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04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semiHidden/>
    <w:qFormat/>
    <w:rsid w:val="00D649CC"/>
    <w:pPr>
      <w:ind w:left="720"/>
    </w:pPr>
  </w:style>
  <w:style w:type="character" w:styleId="FollowedHyperlink">
    <w:name w:val="FollowedHyperlink"/>
    <w:uiPriority w:val="99"/>
    <w:semiHidden/>
    <w:unhideWhenUsed/>
    <w:rsid w:val="004F15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lframalpha.com/widget/widgetPopup.jsp?p=v&amp;id=1e692c6f72587b2cbd3e7be018fd8960&amp;title=Linear%20Programming%20Calculator&amp;theme=blu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xcel-easy.com/data-analysis/solver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imt.org.uk/projects/mepres/alevel/discrete_ch5.pdf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2BFD1FCD-FC3D-46F3-9F5A-ADB518BE1C4E}"/>
</file>

<file path=customXml/itemProps2.xml><?xml version="1.0" encoding="utf-8"?>
<ds:datastoreItem xmlns:ds="http://schemas.openxmlformats.org/officeDocument/2006/customXml" ds:itemID="{9068A8BF-C938-4C36-B17A-F8B191BA3E0B}"/>
</file>

<file path=customXml/itemProps3.xml><?xml version="1.0" encoding="utf-8"?>
<ds:datastoreItem xmlns:ds="http://schemas.openxmlformats.org/officeDocument/2006/customXml" ds:itemID="{2C58E875-B0F3-46BF-ADE0-0A250CDA1281}"/>
</file>

<file path=customXml/itemProps4.xml><?xml version="1.0" encoding="utf-8"?>
<ds:datastoreItem xmlns:ds="http://schemas.openxmlformats.org/officeDocument/2006/customXml" ds:itemID="{983A9221-A0FF-4064-9EA6-5906D1D57A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Mathematical Methods Unit 4</vt:lpstr>
    </vt:vector>
  </TitlesOfParts>
  <Company>Victorian Curriculum and Assessment Authority</Company>
  <LinksUpToDate>false</LinksUpToDate>
  <CharactersWithSpaces>2928</CharactersWithSpaces>
  <SharedDoc>false</SharedDoc>
  <HLinks>
    <vt:vector size="12" baseType="variant">
      <vt:variant>
        <vt:i4>3014659</vt:i4>
      </vt:variant>
      <vt:variant>
        <vt:i4>6</vt:i4>
      </vt:variant>
      <vt:variant>
        <vt:i4>0</vt:i4>
      </vt:variant>
      <vt:variant>
        <vt:i4>5</vt:i4>
      </vt:variant>
      <vt:variant>
        <vt:lpwstr>http://www.vcaa.vic.edu.au/Pages/aboutus/policies/policy-copyright.aspx</vt:lpwstr>
      </vt:variant>
      <vt:variant>
        <vt:lpwstr/>
      </vt:variant>
      <vt:variant>
        <vt:i4>3014659</vt:i4>
      </vt:variant>
      <vt:variant>
        <vt:i4>0</vt:i4>
      </vt:variant>
      <vt:variant>
        <vt:i4>0</vt:i4>
      </vt:variant>
      <vt:variant>
        <vt:i4>5</vt:i4>
      </vt:variant>
      <vt:variant>
        <vt:lpwstr>http://www.vcaa.vic.edu.au/Pages/aboutus/policies/policy-copyright.aspx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mathematical, Unit 4</dc:title>
  <dc:creator>VCAA</dc:creator>
  <cp:keywords>sample learning activity, Further Mathematics, Unit 4</cp:keywords>
  <cp:lastModifiedBy>Byrne, Fiona F</cp:lastModifiedBy>
  <cp:revision>7</cp:revision>
  <cp:lastPrinted>2016-05-17T23:23:00Z</cp:lastPrinted>
  <dcterms:created xsi:type="dcterms:W3CDTF">2016-06-15T04:22:00Z</dcterms:created>
  <dcterms:modified xsi:type="dcterms:W3CDTF">2017-05-09T04:06:00Z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