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3E" w:rsidRDefault="0063333E" w:rsidP="0063333E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0215E0">
        <w:rPr>
          <w:sz w:val="40"/>
          <w:szCs w:val="40"/>
        </w:rPr>
        <w:t>3</w:t>
      </w:r>
      <w:bookmarkStart w:id="0" w:name="_GoBack"/>
      <w:bookmarkEnd w:id="0"/>
    </w:p>
    <w:p w:rsidR="0063333E" w:rsidRDefault="0063333E" w:rsidP="0063333E">
      <w:pPr>
        <w:pStyle w:val="VCAAHeading2"/>
      </w:pPr>
      <w:r>
        <w:t>Appendix 18 – Rights in Australia</w:t>
      </w:r>
    </w:p>
    <w:p w:rsidR="002754C1" w:rsidRPr="00D63B7C" w:rsidRDefault="0063333E" w:rsidP="0063333E">
      <w:pPr>
        <w:pStyle w:val="VCAAHeading3"/>
      </w:pPr>
      <w:r>
        <w:rPr>
          <w:sz w:val="32"/>
          <w:szCs w:val="32"/>
        </w:rPr>
        <w:t xml:space="preserve">Unit 2 Area of </w:t>
      </w:r>
      <w:r w:rsidR="002E2746">
        <w:rPr>
          <w:sz w:val="32"/>
          <w:szCs w:val="32"/>
        </w:rPr>
        <w:t>S</w:t>
      </w:r>
      <w:r>
        <w:rPr>
          <w:sz w:val="32"/>
          <w:szCs w:val="32"/>
        </w:rPr>
        <w:t>tudy 3</w:t>
      </w:r>
    </w:p>
    <w:p w:rsidR="00D63B7C" w:rsidRPr="00D63B7C" w:rsidRDefault="00D63B7C" w:rsidP="00D63B7C">
      <w:pPr>
        <w:pStyle w:val="VCAAbody"/>
      </w:pPr>
      <w:r w:rsidRPr="00D63B7C">
        <w:t>Rights in Australia are viewed as a matter of fundamental importance reflecting the democratic nature of our society. The protection of our democratic and human rights occurs through a number of ways such as through the Australian Constitution, the Victorian Charter of Human Rights and Responsibilities, statute law and common law.</w:t>
      </w:r>
    </w:p>
    <w:p w:rsidR="00D63B7C" w:rsidRPr="00D63B7C" w:rsidRDefault="00D63B7C" w:rsidP="00D63B7C">
      <w:pPr>
        <w:pStyle w:val="VCAAbody"/>
      </w:pPr>
      <w:r w:rsidRPr="00D63B7C">
        <w:t>Identify a number rights citizens are provided and how these rights are protected in Australia. An example is the right to vote as it is protected by legislation, as well as a High Court Case which examined the right to vote in the Roach Case 2007.</w:t>
      </w: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xamples of Rights and how they are protected in Australia"/>
        <w:tblDescription w:val="Examples of Rights and how they are protected in Australia - blank table to fill in."/>
      </w:tblPr>
      <w:tblGrid>
        <w:gridCol w:w="3189"/>
        <w:gridCol w:w="640"/>
        <w:gridCol w:w="639"/>
        <w:gridCol w:w="622"/>
        <w:gridCol w:w="622"/>
        <w:gridCol w:w="622"/>
        <w:gridCol w:w="622"/>
        <w:gridCol w:w="874"/>
        <w:gridCol w:w="726"/>
        <w:gridCol w:w="675"/>
        <w:gridCol w:w="624"/>
      </w:tblGrid>
      <w:tr w:rsidR="00D63B7C" w:rsidRPr="00E10A5D" w:rsidTr="00D63B7C">
        <w:trPr>
          <w:tblHeader/>
        </w:trPr>
        <w:tc>
          <w:tcPr>
            <w:tcW w:w="2240" w:type="pct"/>
            <w:vMerge w:val="restart"/>
            <w:vAlign w:val="center"/>
          </w:tcPr>
          <w:p w:rsidR="00D63B7C" w:rsidRPr="00B476DA" w:rsidRDefault="00B476DA" w:rsidP="00B476DA">
            <w:pPr>
              <w:pStyle w:val="VCAAtablecondensedheading"/>
              <w:jc w:val="center"/>
              <w:rPr>
                <w:b/>
              </w:rPr>
            </w:pPr>
            <w:r w:rsidRPr="00B476DA">
              <w:rPr>
                <w:b/>
              </w:rPr>
              <w:t>Examples of Rights and how they are protected in Australia</w:t>
            </w:r>
          </w:p>
        </w:tc>
        <w:tc>
          <w:tcPr>
            <w:tcW w:w="2760" w:type="pct"/>
            <w:gridSpan w:val="10"/>
          </w:tcPr>
          <w:p w:rsidR="00D63B7C" w:rsidRPr="00D63B7C" w:rsidRDefault="00D63B7C" w:rsidP="001E50A1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Identify and tick how these rights are protected in Australia</w:t>
            </w:r>
          </w:p>
        </w:tc>
      </w:tr>
      <w:tr w:rsidR="00D63B7C" w:rsidRPr="00E10A5D" w:rsidTr="00D63B7C">
        <w:trPr>
          <w:tblHeader/>
        </w:trPr>
        <w:tc>
          <w:tcPr>
            <w:tcW w:w="2240" w:type="pct"/>
            <w:vMerge/>
          </w:tcPr>
          <w:p w:rsidR="00D63B7C" w:rsidRPr="003C0885" w:rsidRDefault="00D63B7C" w:rsidP="0092184F">
            <w:pPr>
              <w:jc w:val="right"/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540" w:type="pct"/>
            <w:gridSpan w:val="2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Constitution</w:t>
            </w:r>
          </w:p>
        </w:tc>
        <w:tc>
          <w:tcPr>
            <w:tcW w:w="539" w:type="pct"/>
            <w:gridSpan w:val="2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Common Law</w:t>
            </w:r>
          </w:p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Court Decisions</w:t>
            </w:r>
          </w:p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High Court</w:t>
            </w:r>
          </w:p>
        </w:tc>
        <w:tc>
          <w:tcPr>
            <w:tcW w:w="505" w:type="pct"/>
            <w:gridSpan w:val="2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Parliament</w:t>
            </w:r>
          </w:p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Legislation or Statutory Rights</w:t>
            </w:r>
          </w:p>
        </w:tc>
        <w:tc>
          <w:tcPr>
            <w:tcW w:w="621" w:type="pct"/>
            <w:gridSpan w:val="2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Vic. Charter of Human Rights and Responsibilities 2006</w:t>
            </w:r>
          </w:p>
        </w:tc>
        <w:tc>
          <w:tcPr>
            <w:tcW w:w="555" w:type="pct"/>
            <w:gridSpan w:val="2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International Treaty</w:t>
            </w:r>
          </w:p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United Nations</w:t>
            </w:r>
          </w:p>
        </w:tc>
      </w:tr>
      <w:tr w:rsidR="00D63B7C" w:rsidRPr="00E10A5D" w:rsidTr="00D63B7C">
        <w:trPr>
          <w:cantSplit/>
          <w:trHeight w:val="1569"/>
          <w:tblHeader/>
        </w:trPr>
        <w:tc>
          <w:tcPr>
            <w:tcW w:w="2240" w:type="pct"/>
            <w:vMerge/>
          </w:tcPr>
          <w:p w:rsidR="00D63B7C" w:rsidRPr="003C0885" w:rsidRDefault="00D63B7C" w:rsidP="0092184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FFFFFF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Student Response</w:t>
            </w:r>
          </w:p>
        </w:tc>
        <w:tc>
          <w:tcPr>
            <w:tcW w:w="270" w:type="pct"/>
            <w:shd w:val="clear" w:color="auto" w:fill="D9D9D9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Answer</w:t>
            </w:r>
          </w:p>
        </w:tc>
        <w:tc>
          <w:tcPr>
            <w:tcW w:w="269" w:type="pct"/>
            <w:shd w:val="clear" w:color="auto" w:fill="FFFFFF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Student Response</w:t>
            </w:r>
          </w:p>
        </w:tc>
        <w:tc>
          <w:tcPr>
            <w:tcW w:w="270" w:type="pct"/>
            <w:shd w:val="clear" w:color="auto" w:fill="D9D9D9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Answer</w:t>
            </w:r>
          </w:p>
        </w:tc>
        <w:tc>
          <w:tcPr>
            <w:tcW w:w="270" w:type="pct"/>
            <w:shd w:val="clear" w:color="auto" w:fill="FFFFFF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Student Response</w:t>
            </w:r>
          </w:p>
        </w:tc>
        <w:tc>
          <w:tcPr>
            <w:tcW w:w="235" w:type="pct"/>
            <w:shd w:val="clear" w:color="auto" w:fill="D9D9D9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Answer</w:t>
            </w:r>
          </w:p>
        </w:tc>
        <w:tc>
          <w:tcPr>
            <w:tcW w:w="339" w:type="pct"/>
            <w:shd w:val="clear" w:color="auto" w:fill="FFFFFF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Student Response</w:t>
            </w:r>
          </w:p>
        </w:tc>
        <w:tc>
          <w:tcPr>
            <w:tcW w:w="282" w:type="pct"/>
            <w:shd w:val="clear" w:color="auto" w:fill="D9D9D9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Answer</w:t>
            </w:r>
          </w:p>
        </w:tc>
        <w:tc>
          <w:tcPr>
            <w:tcW w:w="288" w:type="pct"/>
            <w:shd w:val="clear" w:color="auto" w:fill="FFFFFF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Student Response</w:t>
            </w:r>
          </w:p>
        </w:tc>
        <w:tc>
          <w:tcPr>
            <w:tcW w:w="267" w:type="pct"/>
            <w:shd w:val="clear" w:color="auto" w:fill="D9D9D9"/>
            <w:textDirection w:val="btLr"/>
            <w:vAlign w:val="center"/>
          </w:tcPr>
          <w:p w:rsidR="00D63B7C" w:rsidRPr="00D63B7C" w:rsidRDefault="00D63B7C" w:rsidP="00D63B7C">
            <w:pPr>
              <w:pStyle w:val="VCAAtablecondensedheading"/>
              <w:jc w:val="center"/>
              <w:rPr>
                <w:b/>
              </w:rPr>
            </w:pPr>
            <w:r w:rsidRPr="00D63B7C">
              <w:rPr>
                <w:b/>
              </w:rPr>
              <w:t>Answer</w:t>
            </w:r>
          </w:p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t xml:space="preserve">The right to vote 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>
            <w:r w:rsidRPr="00D63B7C">
              <w:sym w:font="Wingdings" w:char="F0FC"/>
            </w:r>
          </w:p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>
            <w:r w:rsidRPr="00D63B7C">
              <w:sym w:font="Wingdings" w:char="F0FC"/>
            </w:r>
          </w:p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rPr>
                <w:szCs w:val="18"/>
              </w:rPr>
              <w:t>The right to have an adult present at questioning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  <w:rPr>
                <w:szCs w:val="18"/>
              </w:rPr>
            </w:pPr>
            <w:r w:rsidRPr="003C0885">
              <w:rPr>
                <w:szCs w:val="18"/>
              </w:rPr>
              <w:t>The right to legal representation (or to defend him/herself personally)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t>The right to be treated as innocent until proven guilty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t xml:space="preserve">Acquiring property under just terms 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  <w:rPr>
                <w:szCs w:val="18"/>
              </w:rPr>
            </w:pPr>
            <w:r w:rsidRPr="003C0885">
              <w:rPr>
                <w:szCs w:val="18"/>
              </w:rPr>
              <w:t>The right to legal aid, if eligible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t>The right to have basic clothing, shelter and health care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t>The right  to jury trial in Victoria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rPr>
                <w:szCs w:val="18"/>
              </w:rPr>
              <w:t>The right to a Fair Hearing and Legal Representation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rPr>
                <w:szCs w:val="18"/>
              </w:rPr>
              <w:t>The right to remain silent under police questioning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t xml:space="preserve">The right to privacy and personal security 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 w:rsidRPr="003C0885">
              <w:t xml:space="preserve">The Separation of Power – </w:t>
            </w:r>
            <w:r w:rsidRPr="003C0885">
              <w:lastRenderedPageBreak/>
              <w:t>Executive, Legislature &amp; Judiciary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  <w:tr w:rsidR="00D63B7C" w:rsidRPr="00E10A5D" w:rsidTr="00D63B7C">
        <w:trPr>
          <w:trHeight w:val="510"/>
        </w:trPr>
        <w:tc>
          <w:tcPr>
            <w:tcW w:w="2240" w:type="pct"/>
          </w:tcPr>
          <w:p w:rsidR="00D63B7C" w:rsidRPr="003C0885" w:rsidRDefault="00D63B7C" w:rsidP="00D63B7C">
            <w:pPr>
              <w:pStyle w:val="VCAAtablecondensed"/>
            </w:pPr>
            <w:r>
              <w:t>Other…</w:t>
            </w:r>
          </w:p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6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70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70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35" w:type="pct"/>
            <w:shd w:val="clear" w:color="auto" w:fill="D9D9D9"/>
          </w:tcPr>
          <w:p w:rsidR="00D63B7C" w:rsidRPr="00D63B7C" w:rsidRDefault="00D63B7C" w:rsidP="00D63B7C"/>
        </w:tc>
        <w:tc>
          <w:tcPr>
            <w:tcW w:w="339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82" w:type="pct"/>
            <w:shd w:val="clear" w:color="auto" w:fill="D9D9D9"/>
          </w:tcPr>
          <w:p w:rsidR="00D63B7C" w:rsidRPr="00D63B7C" w:rsidRDefault="00D63B7C" w:rsidP="00D63B7C"/>
        </w:tc>
        <w:tc>
          <w:tcPr>
            <w:tcW w:w="288" w:type="pct"/>
            <w:shd w:val="clear" w:color="auto" w:fill="FFFFFF"/>
          </w:tcPr>
          <w:p w:rsidR="00D63B7C" w:rsidRPr="00D63B7C" w:rsidRDefault="00D63B7C" w:rsidP="00D63B7C"/>
        </w:tc>
        <w:tc>
          <w:tcPr>
            <w:tcW w:w="267" w:type="pct"/>
            <w:shd w:val="clear" w:color="auto" w:fill="D9D9D9"/>
          </w:tcPr>
          <w:p w:rsidR="00D63B7C" w:rsidRPr="00D63B7C" w:rsidRDefault="00D63B7C" w:rsidP="00D63B7C"/>
        </w:tc>
      </w:tr>
    </w:tbl>
    <w:p w:rsidR="00D63B7C" w:rsidRPr="00D63B7C" w:rsidRDefault="00D63B7C" w:rsidP="00D63B7C">
      <w:pPr>
        <w:pStyle w:val="VCAAbody"/>
      </w:pPr>
    </w:p>
    <w:sectPr w:rsidR="00D63B7C" w:rsidRPr="00D63B7C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7C" w:rsidRDefault="00D63B7C" w:rsidP="00304EA1">
      <w:r>
        <w:separator/>
      </w:r>
    </w:p>
  </w:endnote>
  <w:endnote w:type="continuationSeparator" w:id="0">
    <w:p w:rsidR="00D63B7C" w:rsidRDefault="00D63B7C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D63B7C"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215E0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D63B7C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8EF3900" wp14:editId="5C6A6A46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7C" w:rsidRDefault="00D63B7C" w:rsidP="00304EA1">
      <w:r>
        <w:separator/>
      </w:r>
    </w:p>
  </w:footnote>
  <w:footnote w:type="continuationSeparator" w:id="0">
    <w:p w:rsidR="00D63B7C" w:rsidRDefault="00D63B7C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8E99348C10E24BF190067E467FD399B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885295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18 – Rights in Australia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ind w:right="-142"/>
      <w:jc w:val="right"/>
    </w:pPr>
    <w:r>
      <w:rPr>
        <w:noProof/>
        <w:lang w:val="en-AU" w:eastAsia="en-AU"/>
      </w:rPr>
      <w:drawing>
        <wp:inline distT="0" distB="0" distL="0" distR="0" wp14:anchorId="6009D853" wp14:editId="74BCC56F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7C"/>
    <w:rsid w:val="00003885"/>
    <w:rsid w:val="000215E0"/>
    <w:rsid w:val="0005780E"/>
    <w:rsid w:val="00065CC6"/>
    <w:rsid w:val="000A71F7"/>
    <w:rsid w:val="000F09E4"/>
    <w:rsid w:val="000F16FD"/>
    <w:rsid w:val="001E50A1"/>
    <w:rsid w:val="002279BA"/>
    <w:rsid w:val="002329F3"/>
    <w:rsid w:val="00243F0D"/>
    <w:rsid w:val="002647BB"/>
    <w:rsid w:val="002754C1"/>
    <w:rsid w:val="002841C8"/>
    <w:rsid w:val="0028516B"/>
    <w:rsid w:val="002C6F90"/>
    <w:rsid w:val="002E2746"/>
    <w:rsid w:val="002E4FB5"/>
    <w:rsid w:val="00302FB8"/>
    <w:rsid w:val="00304EA1"/>
    <w:rsid w:val="00314D81"/>
    <w:rsid w:val="00322FC6"/>
    <w:rsid w:val="0035293F"/>
    <w:rsid w:val="00391986"/>
    <w:rsid w:val="003A00B4"/>
    <w:rsid w:val="003E0EF7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3333E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529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53CFC"/>
    <w:rsid w:val="00A921E0"/>
    <w:rsid w:val="00AE5526"/>
    <w:rsid w:val="00AF051B"/>
    <w:rsid w:val="00B01578"/>
    <w:rsid w:val="00B0738F"/>
    <w:rsid w:val="00B26601"/>
    <w:rsid w:val="00B41951"/>
    <w:rsid w:val="00B476DA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63B7C"/>
    <w:rsid w:val="00D77413"/>
    <w:rsid w:val="00D82759"/>
    <w:rsid w:val="00D86DE4"/>
    <w:rsid w:val="00E23F1D"/>
    <w:rsid w:val="00E36361"/>
    <w:rsid w:val="00E55AE9"/>
    <w:rsid w:val="00EB4200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F2D593"/>
  <w15:docId w15:val="{523D6DF1-921D-45BE-A010-249B88A7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B7C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hAnsi="Arial Narrow"/>
      <w:sz w:val="22"/>
      <w:szCs w:val="22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eastAsiaTheme="minorHAnsi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Arial11">
    <w:name w:val="Arial 11"/>
    <w:basedOn w:val="Normal"/>
    <w:rsid w:val="00D63B7C"/>
    <w:pPr>
      <w:tabs>
        <w:tab w:val="left" w:pos="567"/>
      </w:tabs>
      <w:spacing w:before="40" w:after="40"/>
    </w:pPr>
    <w:rPr>
      <w:rFonts w:cs="Times New Roman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99348C10E24BF190067E467FD3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5751-135B-4CAF-B676-A9A06A6697A3}"/>
      </w:docPartPr>
      <w:docPartBody>
        <w:p w:rsidR="00D705FD" w:rsidRDefault="00D705FD">
          <w:pPr>
            <w:pStyle w:val="8E99348C10E24BF190067E467FD399BE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FD"/>
    <w:rsid w:val="00D7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E99348C10E24BF190067E467FD399BE">
    <w:name w:val="8E99348C10E24BF190067E467FD39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307D-0151-4244-9B0E-285ABC758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7B0D6-5503-4984-A5E4-CF224DF146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3.xml><?xml version="1.0" encoding="utf-8"?>
<ds:datastoreItem xmlns:ds="http://schemas.openxmlformats.org/officeDocument/2006/customXml" ds:itemID="{B96DAA94-D3E4-45AD-B84E-FC4E18BAFB5E}"/>
</file>

<file path=customXml/itemProps4.xml><?xml version="1.0" encoding="utf-8"?>
<ds:datastoreItem xmlns:ds="http://schemas.openxmlformats.org/officeDocument/2006/customXml" ds:itemID="{B92851D3-76CE-422B-A9F3-3DF7E102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18 – Rights in Australia</vt:lpstr>
    </vt:vector>
  </TitlesOfParts>
  <Company>Victorian Curriculum and Assessment Authority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18 – Rights in Australia</dc:title>
  <dc:creator>VCAA</dc:creator>
  <cp:lastModifiedBy>Coleman, Julie J</cp:lastModifiedBy>
  <cp:revision>10</cp:revision>
  <cp:lastPrinted>2015-05-15T02:36:00Z</cp:lastPrinted>
  <dcterms:created xsi:type="dcterms:W3CDTF">2017-07-20T02:02:00Z</dcterms:created>
  <dcterms:modified xsi:type="dcterms:W3CDTF">2020-06-02T00:52:00Z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