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42" w:rsidRDefault="000D5A42" w:rsidP="000D5A42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>
        <w:rPr>
          <w:sz w:val="40"/>
          <w:szCs w:val="40"/>
        </w:rPr>
        <w:t>Legal</w:t>
      </w:r>
      <w:r w:rsidRPr="00D91EFE">
        <w:rPr>
          <w:sz w:val="40"/>
          <w:szCs w:val="40"/>
        </w:rPr>
        <w:t xml:space="preserve"> Studies</w:t>
      </w:r>
      <w:r>
        <w:rPr>
          <w:sz w:val="40"/>
          <w:szCs w:val="40"/>
        </w:rPr>
        <w:t xml:space="preserve"> 2018–202</w:t>
      </w:r>
      <w:r w:rsidR="00C64053">
        <w:rPr>
          <w:sz w:val="40"/>
          <w:szCs w:val="40"/>
        </w:rPr>
        <w:t>3</w:t>
      </w:r>
      <w:bookmarkStart w:id="0" w:name="_GoBack"/>
      <w:bookmarkEnd w:id="0"/>
    </w:p>
    <w:p w:rsidR="000D5A42" w:rsidRPr="00CF4926" w:rsidRDefault="000D5A42" w:rsidP="000D5A42">
      <w:pPr>
        <w:pStyle w:val="VCAAHeading2"/>
      </w:pPr>
      <w:r w:rsidRPr="00CF4926">
        <w:t xml:space="preserve">Appendix </w:t>
      </w:r>
      <w:r>
        <w:t>4</w:t>
      </w:r>
      <w:r w:rsidRPr="00CF4926">
        <w:t xml:space="preserve"> – </w:t>
      </w:r>
      <w:r>
        <w:t>The distinction between summary offences and indictable offences</w:t>
      </w:r>
    </w:p>
    <w:p w:rsidR="00B22EB5" w:rsidRPr="00CE20EE" w:rsidRDefault="000D5A42" w:rsidP="006F5C10">
      <w:pPr>
        <w:pStyle w:val="VCAAHeading1"/>
        <w:spacing w:before="240" w:line="240" w:lineRule="auto"/>
        <w:rPr>
          <w:sz w:val="32"/>
          <w:szCs w:val="32"/>
        </w:rPr>
      </w:pPr>
      <w:r w:rsidRPr="00CF4926">
        <w:rPr>
          <w:sz w:val="32"/>
          <w:szCs w:val="32"/>
        </w:rPr>
        <w:t xml:space="preserve">Unit 1 Area of </w:t>
      </w:r>
      <w:r w:rsidR="00983D8D">
        <w:rPr>
          <w:sz w:val="32"/>
          <w:szCs w:val="32"/>
        </w:rPr>
        <w:t>S</w:t>
      </w:r>
      <w:r w:rsidRPr="00CF4926">
        <w:rPr>
          <w:sz w:val="32"/>
          <w:szCs w:val="32"/>
        </w:rPr>
        <w:t>tudy</w:t>
      </w:r>
      <w:r>
        <w:rPr>
          <w:sz w:val="32"/>
          <w:szCs w:val="32"/>
        </w:rPr>
        <w:t xml:space="preserve"> 2</w:t>
      </w:r>
    </w:p>
    <w:tbl>
      <w:tblPr>
        <w:tblStyle w:val="VCAATableClosed"/>
        <w:tblW w:w="15081" w:type="dxa"/>
        <w:tblLook w:val="04A0" w:firstRow="1" w:lastRow="0" w:firstColumn="1" w:lastColumn="0" w:noHBand="0" w:noVBand="1"/>
        <w:tblCaption w:val="The distinction between summary offences and indictable offences"/>
        <w:tblDescription w:val="The distinction between summary offences and indictable offences - blank table to fill in."/>
      </w:tblPr>
      <w:tblGrid>
        <w:gridCol w:w="3969"/>
        <w:gridCol w:w="2778"/>
        <w:gridCol w:w="2778"/>
        <w:gridCol w:w="2778"/>
        <w:gridCol w:w="2778"/>
      </w:tblGrid>
      <w:tr w:rsidR="00B22EB5" w:rsidTr="00B22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</w:tcPr>
          <w:p w:rsidR="00B22EB5" w:rsidRPr="00366FBA" w:rsidRDefault="00B22EB5" w:rsidP="005F5F9C">
            <w:pPr>
              <w:pStyle w:val="VCAAtablecondensed"/>
              <w:rPr>
                <w:b w:val="0"/>
              </w:rPr>
            </w:pPr>
            <w:r w:rsidRPr="00366FBA">
              <w:rPr>
                <w:b w:val="0"/>
                <w:color w:val="auto"/>
              </w:rPr>
              <w:t>Read through the following case studies and identify if it is a summary offence, indictable offence or an indictable offence heard summarily.</w:t>
            </w:r>
          </w:p>
        </w:tc>
        <w:tc>
          <w:tcPr>
            <w:tcW w:w="2778" w:type="dxa"/>
          </w:tcPr>
          <w:p w:rsidR="00B22EB5" w:rsidRPr="00B80F73" w:rsidRDefault="00B22EB5" w:rsidP="005F5F9C">
            <w:pPr>
              <w:pStyle w:val="VCAAtablecondensedheading"/>
              <w:rPr>
                <w:lang w:val="en-AU"/>
              </w:rPr>
            </w:pPr>
            <w:r w:rsidRPr="00B80F73">
              <w:rPr>
                <w:lang w:val="en-AU"/>
              </w:rPr>
              <w:t xml:space="preserve">Identify the type or category of criminal law </w:t>
            </w:r>
          </w:p>
        </w:tc>
        <w:tc>
          <w:tcPr>
            <w:tcW w:w="2778" w:type="dxa"/>
          </w:tcPr>
          <w:p w:rsidR="00B22EB5" w:rsidRPr="00B80F73" w:rsidRDefault="00B22EB5" w:rsidP="005F5F9C">
            <w:pPr>
              <w:pStyle w:val="VCAAtablecondensedheading"/>
              <w:rPr>
                <w:lang w:val="en-AU"/>
              </w:rPr>
            </w:pPr>
            <w:r w:rsidRPr="00B80F73">
              <w:rPr>
                <w:lang w:val="en-AU"/>
              </w:rPr>
              <w:t xml:space="preserve">Purpose of criminal law </w:t>
            </w:r>
          </w:p>
        </w:tc>
        <w:tc>
          <w:tcPr>
            <w:tcW w:w="2778" w:type="dxa"/>
          </w:tcPr>
          <w:p w:rsidR="00B22EB5" w:rsidRPr="00B80F73" w:rsidRDefault="00B22EB5" w:rsidP="005F5F9C">
            <w:pPr>
              <w:pStyle w:val="VCAAtablecondensedheading"/>
              <w:rPr>
                <w:lang w:val="en-AU"/>
              </w:rPr>
            </w:pPr>
            <w:r w:rsidRPr="00B80F73">
              <w:rPr>
                <w:lang w:val="en-AU"/>
              </w:rPr>
              <w:t>The elements of a crime: actus reus and mens rea</w:t>
            </w:r>
            <w:r>
              <w:rPr>
                <w:lang w:val="en-AU"/>
              </w:rPr>
              <w:t xml:space="preserve"> </w:t>
            </w:r>
          </w:p>
          <w:p w:rsidR="00B22EB5" w:rsidRPr="00B80F73" w:rsidRDefault="00B22EB5" w:rsidP="005F5F9C">
            <w:pPr>
              <w:pStyle w:val="VCAAtablecondensedheading"/>
              <w:rPr>
                <w:lang w:val="en-AU"/>
              </w:rPr>
            </w:pPr>
            <w:r w:rsidRPr="00B80F73">
              <w:rPr>
                <w:lang w:val="en-AU"/>
              </w:rPr>
              <w:t>Strict liability</w:t>
            </w:r>
          </w:p>
        </w:tc>
        <w:tc>
          <w:tcPr>
            <w:tcW w:w="2778" w:type="dxa"/>
          </w:tcPr>
          <w:p w:rsidR="00B22EB5" w:rsidRPr="00B80F73" w:rsidRDefault="00B22EB5" w:rsidP="005F5F9C">
            <w:pPr>
              <w:pStyle w:val="VCAAtablecondensedheading"/>
              <w:rPr>
                <w:lang w:val="en-AU"/>
              </w:rPr>
            </w:pPr>
            <w:r w:rsidRPr="00B80F73">
              <w:rPr>
                <w:lang w:val="en-AU"/>
              </w:rPr>
              <w:t>Summary, Indictable or in Indictable heard summarily</w:t>
            </w:r>
          </w:p>
        </w:tc>
      </w:tr>
      <w:tr w:rsidR="00B22EB5" w:rsidTr="00823F8D">
        <w:trPr>
          <w:trHeight w:val="1134"/>
        </w:trPr>
        <w:tc>
          <w:tcPr>
            <w:tcW w:w="3969" w:type="dxa"/>
          </w:tcPr>
          <w:p w:rsidR="00B22EB5" w:rsidRPr="00FA5962" w:rsidRDefault="00B22EB5" w:rsidP="00B22EB5">
            <w:pPr>
              <w:pStyle w:val="VCAAtablecondensed"/>
              <w:numPr>
                <w:ilvl w:val="0"/>
                <w:numId w:val="6"/>
              </w:numPr>
            </w:pPr>
            <w:r w:rsidRPr="00FA5962">
              <w:t xml:space="preserve">Ella is convicted of a burglary in the Magistrates’ Court and is sentenced to six months imprisonment.  </w:t>
            </w:r>
          </w:p>
        </w:tc>
        <w:tc>
          <w:tcPr>
            <w:tcW w:w="2778" w:type="dxa"/>
          </w:tcPr>
          <w:p w:rsidR="00B22EB5" w:rsidRPr="00B22EB5" w:rsidRDefault="00B22EB5" w:rsidP="005F5F9C">
            <w:pPr>
              <w:pStyle w:val="VCAAtablecondensed"/>
              <w:rPr>
                <w:i/>
              </w:rPr>
            </w:pPr>
            <w:r w:rsidRPr="00B22EB5">
              <w:rPr>
                <w:i/>
              </w:rPr>
              <w:t>Crime against property</w:t>
            </w:r>
          </w:p>
        </w:tc>
        <w:tc>
          <w:tcPr>
            <w:tcW w:w="2778" w:type="dxa"/>
          </w:tcPr>
          <w:p w:rsidR="00B22EB5" w:rsidRPr="00B22EB5" w:rsidRDefault="00B22EB5" w:rsidP="005F5F9C">
            <w:pPr>
              <w:pStyle w:val="VCAAtablecondensed"/>
              <w:rPr>
                <w:i/>
              </w:rPr>
            </w:pPr>
            <w:r w:rsidRPr="00B22EB5">
              <w:rPr>
                <w:i/>
              </w:rPr>
              <w:t>Protect property and punish Ella</w:t>
            </w:r>
          </w:p>
        </w:tc>
        <w:tc>
          <w:tcPr>
            <w:tcW w:w="2778" w:type="dxa"/>
          </w:tcPr>
          <w:p w:rsidR="00B22EB5" w:rsidRPr="00B22EB5" w:rsidRDefault="00B22EB5" w:rsidP="005F5F9C">
            <w:pPr>
              <w:pStyle w:val="VCAAtablecondensed"/>
              <w:rPr>
                <w:i/>
              </w:rPr>
            </w:pPr>
            <w:r w:rsidRPr="00B22EB5">
              <w:rPr>
                <w:i/>
              </w:rPr>
              <w:t xml:space="preserve">In order to be found guilty Ella would have had a guilty mind and also committed the guilty act. </w:t>
            </w:r>
          </w:p>
        </w:tc>
        <w:tc>
          <w:tcPr>
            <w:tcW w:w="2778" w:type="dxa"/>
          </w:tcPr>
          <w:p w:rsidR="00B22EB5" w:rsidRPr="00B22EB5" w:rsidRDefault="00B22EB5" w:rsidP="005F5F9C">
            <w:pPr>
              <w:pStyle w:val="VCAAtablecondensed"/>
              <w:rPr>
                <w:i/>
              </w:rPr>
            </w:pPr>
            <w:r w:rsidRPr="00B22EB5">
              <w:rPr>
                <w:rFonts w:ascii="Calibri" w:hAnsi="Calibri"/>
                <w:i/>
                <w:lang w:val="en-AU"/>
              </w:rPr>
              <w:t>Indictable offence heard summarily</w:t>
            </w:r>
          </w:p>
        </w:tc>
      </w:tr>
      <w:tr w:rsidR="00B22EB5" w:rsidTr="00823F8D">
        <w:trPr>
          <w:trHeight w:val="1134"/>
        </w:trPr>
        <w:tc>
          <w:tcPr>
            <w:tcW w:w="3969" w:type="dxa"/>
          </w:tcPr>
          <w:p w:rsidR="00B22EB5" w:rsidRPr="00FA5962" w:rsidRDefault="00B22EB5" w:rsidP="00B22EB5">
            <w:pPr>
              <w:pStyle w:val="VCAAtablecondensed"/>
              <w:numPr>
                <w:ilvl w:val="0"/>
                <w:numId w:val="6"/>
              </w:numPr>
            </w:pPr>
            <w:r w:rsidRPr="00FA5962">
              <w:t>Christina has failed to pay her traffic infringements fines.  This amounts to $200.00.</w:t>
            </w: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</w:tr>
      <w:tr w:rsidR="00B22EB5" w:rsidTr="00823F8D">
        <w:trPr>
          <w:trHeight w:val="1134"/>
        </w:trPr>
        <w:tc>
          <w:tcPr>
            <w:tcW w:w="3969" w:type="dxa"/>
          </w:tcPr>
          <w:p w:rsidR="00B22EB5" w:rsidRPr="00FA5962" w:rsidRDefault="00B22EB5" w:rsidP="00B22EB5">
            <w:pPr>
              <w:pStyle w:val="VCAAtablecondensed"/>
              <w:numPr>
                <w:ilvl w:val="0"/>
                <w:numId w:val="6"/>
              </w:numPr>
            </w:pPr>
            <w:r w:rsidRPr="00FA5962">
              <w:t xml:space="preserve">Catherine who is 11 years old has been charged with manslaughter. </w:t>
            </w: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</w:tr>
      <w:tr w:rsidR="00B22EB5" w:rsidTr="00823F8D">
        <w:trPr>
          <w:trHeight w:val="1134"/>
        </w:trPr>
        <w:tc>
          <w:tcPr>
            <w:tcW w:w="3969" w:type="dxa"/>
          </w:tcPr>
          <w:p w:rsidR="00B22EB5" w:rsidRPr="00FA5962" w:rsidRDefault="00B22EB5" w:rsidP="00B22EB5">
            <w:pPr>
              <w:pStyle w:val="VCAAtablecondensed"/>
              <w:numPr>
                <w:ilvl w:val="0"/>
                <w:numId w:val="6"/>
              </w:numPr>
            </w:pPr>
            <w:r w:rsidRPr="00FA5962">
              <w:t xml:space="preserve">Louisa who has P Plates has been caught speeding in a 50 zone.  </w:t>
            </w: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</w:tr>
      <w:tr w:rsidR="00B22EB5" w:rsidTr="00823F8D">
        <w:trPr>
          <w:trHeight w:val="1134"/>
        </w:trPr>
        <w:tc>
          <w:tcPr>
            <w:tcW w:w="3969" w:type="dxa"/>
          </w:tcPr>
          <w:p w:rsidR="00B22EB5" w:rsidRPr="00FA5962" w:rsidRDefault="00B22EB5" w:rsidP="00B22EB5">
            <w:pPr>
              <w:pStyle w:val="VCAAtablecondensed"/>
              <w:numPr>
                <w:ilvl w:val="0"/>
                <w:numId w:val="6"/>
              </w:numPr>
            </w:pPr>
            <w:r w:rsidRPr="00FA5962">
              <w:t>Isabella has been convicted of Terrorism in Victoria.  She wishes to lodge an appeal.</w:t>
            </w: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</w:tr>
      <w:tr w:rsidR="00B22EB5" w:rsidTr="00823F8D">
        <w:trPr>
          <w:trHeight w:val="1134"/>
        </w:trPr>
        <w:tc>
          <w:tcPr>
            <w:tcW w:w="3969" w:type="dxa"/>
          </w:tcPr>
          <w:p w:rsidR="00B22EB5" w:rsidRPr="00FA5962" w:rsidRDefault="00B22EB5" w:rsidP="00B22EB5">
            <w:pPr>
              <w:pStyle w:val="VCAAtablecondensed"/>
              <w:numPr>
                <w:ilvl w:val="0"/>
                <w:numId w:val="6"/>
              </w:numPr>
            </w:pPr>
            <w:r w:rsidRPr="00FA5962">
              <w:lastRenderedPageBreak/>
              <w:t>Annalise 25 years old has been charged with theft of a mars bar.</w:t>
            </w: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</w:tr>
      <w:tr w:rsidR="00B22EB5" w:rsidTr="00823F8D">
        <w:trPr>
          <w:trHeight w:val="1134"/>
        </w:trPr>
        <w:tc>
          <w:tcPr>
            <w:tcW w:w="3969" w:type="dxa"/>
          </w:tcPr>
          <w:p w:rsidR="00B22EB5" w:rsidRPr="00FA5962" w:rsidRDefault="00B22EB5" w:rsidP="00B22EB5">
            <w:pPr>
              <w:pStyle w:val="VCAAtablecondensed"/>
              <w:numPr>
                <w:ilvl w:val="0"/>
                <w:numId w:val="6"/>
              </w:numPr>
            </w:pPr>
            <w:r w:rsidRPr="00FA5962">
              <w:t xml:space="preserve">Rachel was found guilty of speeding and the magistrate issued her with a 10 Year license cancellation.  </w:t>
            </w: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</w:tr>
      <w:tr w:rsidR="00B22EB5" w:rsidTr="00823F8D">
        <w:trPr>
          <w:trHeight w:val="1134"/>
        </w:trPr>
        <w:tc>
          <w:tcPr>
            <w:tcW w:w="3969" w:type="dxa"/>
          </w:tcPr>
          <w:p w:rsidR="00B22EB5" w:rsidRPr="00FA5962" w:rsidRDefault="00B22EB5" w:rsidP="00B22EB5">
            <w:pPr>
              <w:pStyle w:val="VCAAtablecondensed"/>
              <w:numPr>
                <w:ilvl w:val="0"/>
                <w:numId w:val="6"/>
              </w:numPr>
            </w:pPr>
            <w:r w:rsidRPr="00FA5962">
              <w:t>Elana is appealing against a conviction for Arson in the county court.  The basis Elana’s appeal is that the judge misdirected the jury.</w:t>
            </w: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</w:tr>
      <w:tr w:rsidR="00B22EB5" w:rsidTr="00823F8D">
        <w:trPr>
          <w:trHeight w:val="1134"/>
        </w:trPr>
        <w:tc>
          <w:tcPr>
            <w:tcW w:w="3969" w:type="dxa"/>
          </w:tcPr>
          <w:p w:rsidR="00B22EB5" w:rsidRPr="00FA5962" w:rsidRDefault="00B22EB5" w:rsidP="00B22EB5">
            <w:pPr>
              <w:pStyle w:val="VCAAtablecondensed"/>
              <w:numPr>
                <w:ilvl w:val="0"/>
                <w:numId w:val="6"/>
              </w:numPr>
            </w:pPr>
            <w:r w:rsidRPr="00FA5962">
              <w:t>Jimima, 65 years old with a drug addiction is charged with prostitution.</w:t>
            </w: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</w:tr>
      <w:tr w:rsidR="00B22EB5" w:rsidTr="00823F8D">
        <w:trPr>
          <w:trHeight w:val="1134"/>
        </w:trPr>
        <w:tc>
          <w:tcPr>
            <w:tcW w:w="3969" w:type="dxa"/>
          </w:tcPr>
          <w:p w:rsidR="00B22EB5" w:rsidRPr="00FA5962" w:rsidRDefault="00B22EB5" w:rsidP="00B22EB5">
            <w:pPr>
              <w:pStyle w:val="VCAAtablecondensed"/>
              <w:numPr>
                <w:ilvl w:val="0"/>
                <w:numId w:val="6"/>
              </w:numPr>
            </w:pPr>
            <w:r w:rsidRPr="00FA5962">
              <w:t>Stephanie has been caught with selling a large amount of drugs to support her family.</w:t>
            </w: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</w:tr>
      <w:tr w:rsidR="00B22EB5" w:rsidTr="00823F8D">
        <w:trPr>
          <w:trHeight w:val="1134"/>
        </w:trPr>
        <w:tc>
          <w:tcPr>
            <w:tcW w:w="3969" w:type="dxa"/>
          </w:tcPr>
          <w:p w:rsidR="00B22EB5" w:rsidRPr="00FA5962" w:rsidRDefault="00B22EB5" w:rsidP="00B22EB5">
            <w:pPr>
              <w:pStyle w:val="VCAAtablecondensed"/>
              <w:numPr>
                <w:ilvl w:val="0"/>
                <w:numId w:val="6"/>
              </w:numPr>
            </w:pPr>
            <w:r w:rsidRPr="00FA5962">
              <w:t>A Magistrate, Annabelle, is hearing about a Homicide at Shenley Reserve.</w:t>
            </w: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Pr="000F09E4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  <w:tc>
          <w:tcPr>
            <w:tcW w:w="2778" w:type="dxa"/>
          </w:tcPr>
          <w:p w:rsidR="00B22EB5" w:rsidRDefault="00B22EB5" w:rsidP="005F5F9C">
            <w:pPr>
              <w:pStyle w:val="VCAAtablecondensed"/>
            </w:pPr>
          </w:p>
        </w:tc>
      </w:tr>
    </w:tbl>
    <w:p w:rsidR="002647BB" w:rsidRDefault="002647BB" w:rsidP="00B22EB5"/>
    <w:sectPr w:rsidR="002647BB" w:rsidSect="00D33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B5" w:rsidRDefault="00B22EB5" w:rsidP="00304EA1">
      <w:pPr>
        <w:spacing w:after="0" w:line="240" w:lineRule="auto"/>
      </w:pPr>
      <w:r>
        <w:separator/>
      </w:r>
    </w:p>
  </w:endnote>
  <w:endnote w:type="continuationSeparator" w:id="0">
    <w:p w:rsidR="00B22EB5" w:rsidRDefault="00B22EB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80" w:rsidRDefault="00536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Pr="00243F0D" w:rsidRDefault="00D3388E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4605FB"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C64053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Default="00D3388E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4605FB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B5" w:rsidRDefault="00B22EB5" w:rsidP="00304EA1">
      <w:pPr>
        <w:spacing w:after="0" w:line="240" w:lineRule="auto"/>
      </w:pPr>
      <w:r>
        <w:separator/>
      </w:r>
    </w:p>
  </w:footnote>
  <w:footnote w:type="continuationSeparator" w:id="0">
    <w:p w:rsidR="00B22EB5" w:rsidRDefault="00B22EB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80" w:rsidRDefault="00536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89A939D2BC3443EB83A627D38A4B0D0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94A8B" w:rsidRPr="00D86DE4" w:rsidRDefault="00B22EB5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Appendix 4 – The distinction between summary offences and indictable offences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Pr="009370BC" w:rsidRDefault="00D3388E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3DE2"/>
    <w:multiLevelType w:val="hybridMultilevel"/>
    <w:tmpl w:val="A590F8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B5"/>
    <w:rsid w:val="00027228"/>
    <w:rsid w:val="0005780E"/>
    <w:rsid w:val="000A71F7"/>
    <w:rsid w:val="000D5A42"/>
    <w:rsid w:val="000F09E4"/>
    <w:rsid w:val="000F1009"/>
    <w:rsid w:val="000F16FD"/>
    <w:rsid w:val="00164D7A"/>
    <w:rsid w:val="0018097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B08E8"/>
    <w:rsid w:val="002C6F90"/>
    <w:rsid w:val="00302FB8"/>
    <w:rsid w:val="00304EA1"/>
    <w:rsid w:val="00314D81"/>
    <w:rsid w:val="00322FC6"/>
    <w:rsid w:val="00372723"/>
    <w:rsid w:val="00391986"/>
    <w:rsid w:val="003D0B58"/>
    <w:rsid w:val="00400A2A"/>
    <w:rsid w:val="00416B45"/>
    <w:rsid w:val="00417AA3"/>
    <w:rsid w:val="00440B32"/>
    <w:rsid w:val="004605FB"/>
    <w:rsid w:val="0046078D"/>
    <w:rsid w:val="004A2ED8"/>
    <w:rsid w:val="004F5BDA"/>
    <w:rsid w:val="004F6562"/>
    <w:rsid w:val="0051631E"/>
    <w:rsid w:val="00536E80"/>
    <w:rsid w:val="00566029"/>
    <w:rsid w:val="00582CDF"/>
    <w:rsid w:val="005923CB"/>
    <w:rsid w:val="005B391B"/>
    <w:rsid w:val="005D3D78"/>
    <w:rsid w:val="005E2EF0"/>
    <w:rsid w:val="00656B26"/>
    <w:rsid w:val="00693FFD"/>
    <w:rsid w:val="006D2159"/>
    <w:rsid w:val="006F5C10"/>
    <w:rsid w:val="006F787C"/>
    <w:rsid w:val="00702636"/>
    <w:rsid w:val="00724507"/>
    <w:rsid w:val="00751217"/>
    <w:rsid w:val="0076106A"/>
    <w:rsid w:val="00773E6C"/>
    <w:rsid w:val="007B186E"/>
    <w:rsid w:val="00813C37"/>
    <w:rsid w:val="008154B5"/>
    <w:rsid w:val="00823962"/>
    <w:rsid w:val="00823F8D"/>
    <w:rsid w:val="00852719"/>
    <w:rsid w:val="00860115"/>
    <w:rsid w:val="0088783C"/>
    <w:rsid w:val="009370BC"/>
    <w:rsid w:val="00983D8D"/>
    <w:rsid w:val="0098739B"/>
    <w:rsid w:val="00A17661"/>
    <w:rsid w:val="00A24B2D"/>
    <w:rsid w:val="00A30AF1"/>
    <w:rsid w:val="00A40966"/>
    <w:rsid w:val="00A51560"/>
    <w:rsid w:val="00A921E0"/>
    <w:rsid w:val="00B0738F"/>
    <w:rsid w:val="00B22EB5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64053"/>
    <w:rsid w:val="00C75F1D"/>
    <w:rsid w:val="00C94A8B"/>
    <w:rsid w:val="00CC1EDB"/>
    <w:rsid w:val="00CC4094"/>
    <w:rsid w:val="00CE20EE"/>
    <w:rsid w:val="00D3388E"/>
    <w:rsid w:val="00D338E4"/>
    <w:rsid w:val="00D51947"/>
    <w:rsid w:val="00D532F0"/>
    <w:rsid w:val="00D77413"/>
    <w:rsid w:val="00D82759"/>
    <w:rsid w:val="00D86DE4"/>
    <w:rsid w:val="00DC21C3"/>
    <w:rsid w:val="00E23F1D"/>
    <w:rsid w:val="00E36361"/>
    <w:rsid w:val="00E55AE9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19F27A"/>
  <w15:docId w15:val="{1D36AE8C-E66A-4D4A-BDF4-9A4F68E5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2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VCAAfigures">
    <w:name w:val="VCAA figures"/>
    <w:basedOn w:val="VCAAbody"/>
    <w:link w:val="VCAAfiguresChar"/>
    <w:qFormat/>
    <w:rsid w:val="002B08E8"/>
    <w:pPr>
      <w:spacing w:line="240" w:lineRule="auto"/>
      <w:jc w:val="center"/>
    </w:pPr>
  </w:style>
  <w:style w:type="character" w:customStyle="1" w:styleId="VCAAbodyChar">
    <w:name w:val="VCAA body Char"/>
    <w:basedOn w:val="DefaultParagraphFont"/>
    <w:link w:val="VCAAbody"/>
    <w:rsid w:val="002B08E8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2B08E8"/>
    <w:rPr>
      <w:rFonts w:ascii="Arial" w:hAnsi="Arial" w:cs="Arial"/>
      <w:color w:val="000000" w:themeColor="text1"/>
    </w:rPr>
  </w:style>
  <w:style w:type="paragraph" w:styleId="Title">
    <w:name w:val="Title"/>
    <w:basedOn w:val="Normal"/>
    <w:link w:val="TitleChar"/>
    <w:qFormat/>
    <w:rsid w:val="00B22EB5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96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B22EB5"/>
    <w:rPr>
      <w:rFonts w:ascii="Arial" w:eastAsia="Times New Roman" w:hAnsi="Arial" w:cs="Times New Roman"/>
      <w:b/>
      <w:bCs/>
      <w:sz w:val="96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A939D2BC3443EB83A627D38A4B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9E25-A0C3-4C36-8700-96EC099FB22F}"/>
      </w:docPartPr>
      <w:docPartBody>
        <w:p w:rsidR="007222E6" w:rsidRDefault="0091470A">
          <w:pPr>
            <w:pStyle w:val="89A939D2BC3443EB83A627D38A4B0D0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A"/>
    <w:rsid w:val="007222E6"/>
    <w:rsid w:val="0091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70A"/>
    <w:rPr>
      <w:color w:val="808080"/>
    </w:rPr>
  </w:style>
  <w:style w:type="paragraph" w:customStyle="1" w:styleId="89A939D2BC3443EB83A627D38A4B0D05">
    <w:name w:val="89A939D2BC3443EB83A627D38A4B0D05"/>
  </w:style>
  <w:style w:type="paragraph" w:customStyle="1" w:styleId="8B729D4CD02442809E9B4B540CE37E69">
    <w:name w:val="8B729D4CD02442809E9B4B540CE37E69"/>
    <w:rsid w:val="00914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6A60-150F-4D6F-86F7-53453D842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79F1E-7325-4AFD-A184-C92D97F80D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3.xml><?xml version="1.0" encoding="utf-8"?>
<ds:datastoreItem xmlns:ds="http://schemas.openxmlformats.org/officeDocument/2006/customXml" ds:itemID="{DB685C4F-49EA-49C0-AFD2-CA253F1BD0FA}"/>
</file>

<file path=customXml/itemProps4.xml><?xml version="1.0" encoding="utf-8"?>
<ds:datastoreItem xmlns:ds="http://schemas.openxmlformats.org/officeDocument/2006/customXml" ds:itemID="{D3E1936B-CC4F-4808-A921-736A8CE0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 – The distinction between summary offences and indictable offences</vt:lpstr>
    </vt:vector>
  </TitlesOfParts>
  <Company>Victorian Curriculum and Assessment Authority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 – The distinction between summary offences and indictable offences</dc:title>
  <dc:creator>VCAA</dc:creator>
  <cp:lastModifiedBy>Coleman, Julie J</cp:lastModifiedBy>
  <cp:revision>12</cp:revision>
  <cp:lastPrinted>2015-05-15T02:35:00Z</cp:lastPrinted>
  <dcterms:created xsi:type="dcterms:W3CDTF">2017-07-19T05:53:00Z</dcterms:created>
  <dcterms:modified xsi:type="dcterms:W3CDTF">2020-06-02T00:50:00Z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