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47" w:rsidRDefault="00736747" w:rsidP="00736747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BA06C1">
        <w:rPr>
          <w:sz w:val="40"/>
          <w:szCs w:val="40"/>
        </w:rPr>
        <w:t>3</w:t>
      </w:r>
      <w:bookmarkStart w:id="0" w:name="_GoBack"/>
      <w:bookmarkEnd w:id="0"/>
    </w:p>
    <w:p w:rsidR="00736747" w:rsidRDefault="00736747" w:rsidP="00736747">
      <w:pPr>
        <w:pStyle w:val="VCAAHeading2"/>
      </w:pPr>
      <w:r>
        <w:t>Appendix 9 – Family Law Investigation</w:t>
      </w:r>
    </w:p>
    <w:p w:rsidR="002754C1" w:rsidRPr="00172BB1" w:rsidRDefault="00736747" w:rsidP="00736747">
      <w:pPr>
        <w:pStyle w:val="VCAAHeading3"/>
        <w:rPr>
          <w:sz w:val="36"/>
          <w:szCs w:val="36"/>
          <w:lang w:val="en-AU"/>
        </w:rPr>
      </w:pPr>
      <w:r>
        <w:rPr>
          <w:sz w:val="32"/>
          <w:szCs w:val="32"/>
        </w:rPr>
        <w:t xml:space="preserve">Unit 1 Area of </w:t>
      </w:r>
      <w:r w:rsidR="000D1C86">
        <w:rPr>
          <w:sz w:val="32"/>
          <w:szCs w:val="32"/>
        </w:rPr>
        <w:t>S</w:t>
      </w:r>
      <w:r>
        <w:rPr>
          <w:sz w:val="32"/>
          <w:szCs w:val="32"/>
        </w:rPr>
        <w:t>tudy 3</w:t>
      </w:r>
    </w:p>
    <w:p w:rsidR="00897781" w:rsidRPr="003C0885" w:rsidRDefault="00897781" w:rsidP="00897781">
      <w:pPr>
        <w:pStyle w:val="VCAAHeading2"/>
        <w:rPr>
          <w:lang w:val="en-AU"/>
        </w:rPr>
      </w:pPr>
      <w:r w:rsidRPr="003C0885">
        <w:rPr>
          <w:lang w:val="en-AU"/>
        </w:rPr>
        <w:t xml:space="preserve">The focus of </w:t>
      </w:r>
      <w:r>
        <w:rPr>
          <w:lang w:val="en-AU"/>
        </w:rPr>
        <w:t>the learning</w:t>
      </w:r>
      <w:r w:rsidRPr="003C0885">
        <w:rPr>
          <w:lang w:val="en-AU"/>
        </w:rPr>
        <w:t xml:space="preserve"> will include…</w:t>
      </w:r>
    </w:p>
    <w:p w:rsidR="00897781" w:rsidRPr="003C0885" w:rsidRDefault="00897781" w:rsidP="00897781">
      <w:pPr>
        <w:pStyle w:val="VCAAbody"/>
        <w:rPr>
          <w:lang w:val="en-AU"/>
        </w:rPr>
      </w:pPr>
      <w:r w:rsidRPr="009C617C">
        <w:rPr>
          <w:lang w:val="en-AU"/>
        </w:rPr>
        <w:t>On completion of this unit the student should be able to explain the purposes, and key concepts of civil law, and apply legal reasoning to argue the liability of a party in civil law based on actual and/or hypothetical scenarios</w:t>
      </w:r>
      <w:r w:rsidRPr="003C0885">
        <w:rPr>
          <w:lang w:val="en-AU"/>
        </w:rPr>
        <w:t>.</w:t>
      </w:r>
    </w:p>
    <w:p w:rsidR="00897781" w:rsidRPr="003C0885" w:rsidRDefault="00897781" w:rsidP="00897781">
      <w:pPr>
        <w:pStyle w:val="VCAAbody"/>
        <w:rPr>
          <w:lang w:val="en-AU"/>
        </w:rPr>
      </w:pPr>
      <w:r w:rsidRPr="003C0885">
        <w:rPr>
          <w:lang w:val="en-AU"/>
        </w:rPr>
        <w:t>Students will…</w:t>
      </w:r>
    </w:p>
    <w:p w:rsidR="00897781" w:rsidRPr="009C617C" w:rsidRDefault="00897781" w:rsidP="00897781">
      <w:pPr>
        <w:pStyle w:val="VCAAnumbers"/>
        <w:rPr>
          <w:rFonts w:eastAsia="Calibri"/>
          <w:lang w:val="en-AU"/>
        </w:rPr>
      </w:pPr>
      <w:r>
        <w:rPr>
          <w:rFonts w:eastAsia="Calibri"/>
          <w:lang w:val="en-AU"/>
        </w:rPr>
        <w:t>Apply legal reasoning or principles to one actual or hypothetical case</w:t>
      </w:r>
    </w:p>
    <w:p w:rsidR="00897781" w:rsidRDefault="00897781" w:rsidP="00897781">
      <w:pPr>
        <w:pStyle w:val="VCAAnumbers"/>
        <w:rPr>
          <w:rFonts w:eastAsia="Calibri"/>
          <w:lang w:val="en-AU"/>
        </w:rPr>
      </w:pPr>
      <w:r w:rsidRPr="009C617C">
        <w:rPr>
          <w:rFonts w:eastAsia="Calibri"/>
          <w:lang w:val="en-AU"/>
        </w:rPr>
        <w:t>Undertake a detailed investigation into Family law by research</w:t>
      </w:r>
      <w:r>
        <w:rPr>
          <w:rFonts w:eastAsia="Calibri"/>
          <w:lang w:val="en-AU"/>
        </w:rPr>
        <w:t>ing</w:t>
      </w:r>
      <w:r w:rsidRPr="009C617C">
        <w:rPr>
          <w:rFonts w:eastAsia="Calibri"/>
          <w:lang w:val="en-AU"/>
        </w:rPr>
        <w:t xml:space="preserve"> and investigat</w:t>
      </w:r>
      <w:r>
        <w:rPr>
          <w:rFonts w:eastAsia="Calibri"/>
          <w:lang w:val="en-AU"/>
        </w:rPr>
        <w:t>ing</w:t>
      </w:r>
      <w:r w:rsidRPr="009C617C">
        <w:rPr>
          <w:rFonts w:eastAsia="Calibri"/>
          <w:lang w:val="en-AU"/>
        </w:rPr>
        <w:t xml:space="preserve"> </w:t>
      </w:r>
      <w:r>
        <w:rPr>
          <w:rFonts w:eastAsia="Calibri"/>
          <w:lang w:val="en-AU"/>
        </w:rPr>
        <w:t>the relevant</w:t>
      </w:r>
      <w:r w:rsidRPr="009C617C">
        <w:rPr>
          <w:rFonts w:eastAsia="Calibri"/>
          <w:lang w:val="en-AU"/>
        </w:rPr>
        <w:t xml:space="preserve"> legal principles </w:t>
      </w:r>
      <w:r>
        <w:rPr>
          <w:rFonts w:eastAsia="Calibri"/>
          <w:lang w:val="en-AU"/>
        </w:rPr>
        <w:t>to Family Law by covering:</w:t>
      </w:r>
    </w:p>
    <w:p w:rsidR="00897781" w:rsidRPr="009C617C" w:rsidRDefault="00897781" w:rsidP="00897781">
      <w:pPr>
        <w:pStyle w:val="VCAAbulletlevel2"/>
        <w:rPr>
          <w:rFonts w:eastAsia="Calibri"/>
        </w:rPr>
      </w:pPr>
      <w:r w:rsidRPr="009C617C">
        <w:rPr>
          <w:rFonts w:eastAsia="Calibri"/>
        </w:rPr>
        <w:t>the rights protected by the law</w:t>
      </w:r>
    </w:p>
    <w:p w:rsidR="00897781" w:rsidRPr="009C617C" w:rsidRDefault="00897781" w:rsidP="00897781">
      <w:pPr>
        <w:pStyle w:val="VCAAbulletlevel2"/>
        <w:rPr>
          <w:rFonts w:eastAsia="Calibri"/>
        </w:rPr>
      </w:pPr>
      <w:r w:rsidRPr="009C617C">
        <w:rPr>
          <w:rFonts w:eastAsia="Calibri"/>
        </w:rPr>
        <w:t>the elements required to establish liability</w:t>
      </w:r>
    </w:p>
    <w:p w:rsidR="00897781" w:rsidRPr="009C617C" w:rsidRDefault="00897781" w:rsidP="00897781">
      <w:pPr>
        <w:pStyle w:val="VCAAbulletlevel2"/>
        <w:rPr>
          <w:rFonts w:eastAsia="Calibri"/>
        </w:rPr>
      </w:pPr>
      <w:r w:rsidRPr="009C617C">
        <w:rPr>
          <w:rFonts w:eastAsia="Calibri"/>
        </w:rPr>
        <w:t xml:space="preserve">the limitations of actions </w:t>
      </w:r>
    </w:p>
    <w:p w:rsidR="00897781" w:rsidRPr="009C617C" w:rsidRDefault="00897781" w:rsidP="00897781">
      <w:pPr>
        <w:pStyle w:val="VCAAbulletlevel2"/>
        <w:rPr>
          <w:rFonts w:eastAsia="Calibri"/>
        </w:rPr>
      </w:pPr>
      <w:r w:rsidRPr="009C617C">
        <w:rPr>
          <w:rFonts w:eastAsia="Calibri"/>
        </w:rPr>
        <w:t>possible defences</w:t>
      </w:r>
    </w:p>
    <w:p w:rsidR="00897781" w:rsidRPr="009C617C" w:rsidRDefault="00897781" w:rsidP="00897781">
      <w:pPr>
        <w:pStyle w:val="VCAAbulletlevel2"/>
        <w:rPr>
          <w:rFonts w:eastAsia="Calibri"/>
        </w:rPr>
      </w:pPr>
      <w:r w:rsidRPr="009C617C">
        <w:rPr>
          <w:rFonts w:eastAsia="Calibri"/>
        </w:rPr>
        <w:t>the role of statute law and common law in developing the elements and defences</w:t>
      </w:r>
    </w:p>
    <w:p w:rsidR="00897781" w:rsidRPr="009C617C" w:rsidRDefault="00897781" w:rsidP="00897781">
      <w:pPr>
        <w:pStyle w:val="VCAAbulletlevel2"/>
        <w:rPr>
          <w:rFonts w:eastAsia="Calibri"/>
        </w:rPr>
      </w:pPr>
      <w:r w:rsidRPr="009C617C">
        <w:rPr>
          <w:rFonts w:eastAsia="Calibri"/>
        </w:rPr>
        <w:t>the impact of the breach on an aggrieved party</w:t>
      </w:r>
    </w:p>
    <w:p w:rsidR="00897781" w:rsidRPr="003C0885" w:rsidRDefault="00897781" w:rsidP="00897781">
      <w:pPr>
        <w:pStyle w:val="VCAAHeading2"/>
        <w:rPr>
          <w:lang w:val="en-AU"/>
        </w:rPr>
      </w:pPr>
      <w:r w:rsidRPr="003C0885">
        <w:rPr>
          <w:lang w:val="en-AU"/>
        </w:rPr>
        <w:t xml:space="preserve">What will be covered in </w:t>
      </w:r>
      <w:proofErr w:type="gramStart"/>
      <w:r>
        <w:rPr>
          <w:lang w:val="en-AU"/>
        </w:rPr>
        <w:t>class</w:t>
      </w:r>
      <w:proofErr w:type="gramEnd"/>
    </w:p>
    <w:p w:rsidR="00897781" w:rsidRPr="003C0885" w:rsidRDefault="00897781" w:rsidP="00897781">
      <w:pPr>
        <w:pStyle w:val="VCAAbullet"/>
        <w:rPr>
          <w:rFonts w:eastAsia="Calibri"/>
        </w:rPr>
      </w:pPr>
      <w:r w:rsidRPr="003C0885">
        <w:rPr>
          <w:rFonts w:eastAsia="Calibri"/>
        </w:rPr>
        <w:t>Family Relationships</w:t>
      </w:r>
    </w:p>
    <w:p w:rsidR="00897781" w:rsidRPr="003C0885" w:rsidRDefault="00897781" w:rsidP="00897781">
      <w:pPr>
        <w:pStyle w:val="VCAAbullet"/>
        <w:rPr>
          <w:rFonts w:eastAsia="Calibri"/>
        </w:rPr>
      </w:pPr>
      <w:r w:rsidRPr="003C0885">
        <w:rPr>
          <w:rFonts w:eastAsia="Calibri"/>
        </w:rPr>
        <w:t>Marriage and the legal requirements of marriage</w:t>
      </w:r>
    </w:p>
    <w:p w:rsidR="00897781" w:rsidRPr="003C0885" w:rsidRDefault="00897781" w:rsidP="00897781">
      <w:pPr>
        <w:pStyle w:val="VCAAbullet"/>
        <w:rPr>
          <w:rFonts w:eastAsia="Calibri"/>
        </w:rPr>
      </w:pPr>
      <w:r w:rsidRPr="003C0885">
        <w:rPr>
          <w:rFonts w:eastAsia="Calibri"/>
        </w:rPr>
        <w:t>Divorce</w:t>
      </w:r>
      <w:r w:rsidRPr="003C0885">
        <w:t xml:space="preserve"> </w:t>
      </w:r>
      <w:r>
        <w:t xml:space="preserve">and the </w:t>
      </w:r>
      <w:r w:rsidRPr="003C0885">
        <w:rPr>
          <w:rFonts w:eastAsia="Calibri"/>
        </w:rPr>
        <w:t xml:space="preserve">dissolution of </w:t>
      </w:r>
      <w:r>
        <w:rPr>
          <w:rFonts w:eastAsia="Calibri"/>
        </w:rPr>
        <w:t>m</w:t>
      </w:r>
      <w:r w:rsidRPr="003C0885">
        <w:rPr>
          <w:rFonts w:eastAsia="Calibri"/>
        </w:rPr>
        <w:t>arriage</w:t>
      </w:r>
    </w:p>
    <w:p w:rsidR="00897781" w:rsidRPr="003C0885" w:rsidRDefault="00897781" w:rsidP="00897781">
      <w:pPr>
        <w:pStyle w:val="VCAAbullet"/>
        <w:rPr>
          <w:rFonts w:eastAsia="Calibri"/>
        </w:rPr>
      </w:pPr>
      <w:r w:rsidRPr="003C0885">
        <w:rPr>
          <w:rFonts w:eastAsia="Calibri"/>
        </w:rPr>
        <w:t>The role of the Family Court of Australia</w:t>
      </w:r>
    </w:p>
    <w:p w:rsidR="00897781" w:rsidRDefault="00897781" w:rsidP="00897781">
      <w:pPr>
        <w:pStyle w:val="VCAAbulletlevel2"/>
        <w:rPr>
          <w:rFonts w:eastAsia="Calibri"/>
        </w:rPr>
      </w:pPr>
      <w:r w:rsidRPr="003C0885">
        <w:rPr>
          <w:rFonts w:eastAsia="Calibri"/>
        </w:rPr>
        <w:t xml:space="preserve">Case Study </w:t>
      </w:r>
      <w:r>
        <w:rPr>
          <w:rFonts w:eastAsia="Calibri"/>
        </w:rPr>
        <w:t xml:space="preserve">– </w:t>
      </w:r>
      <w:r w:rsidRPr="003C0885">
        <w:rPr>
          <w:rFonts w:eastAsia="Calibri"/>
        </w:rPr>
        <w:t xml:space="preserve">Domestic Relationships </w:t>
      </w:r>
    </w:p>
    <w:p w:rsidR="00897781" w:rsidRPr="003C0885" w:rsidRDefault="00897781" w:rsidP="00897781">
      <w:pPr>
        <w:pStyle w:val="VCAAbulletlevel2"/>
        <w:rPr>
          <w:rFonts w:eastAsia="Calibri"/>
        </w:rPr>
      </w:pPr>
      <w:r>
        <w:rPr>
          <w:rFonts w:eastAsia="Calibri"/>
        </w:rPr>
        <w:t>Case Study – Marriage Equality (</w:t>
      </w:r>
      <w:r w:rsidRPr="003C0885">
        <w:rPr>
          <w:rFonts w:eastAsia="Calibri"/>
        </w:rPr>
        <w:t>Same Sex Marriage)</w:t>
      </w:r>
    </w:p>
    <w:p w:rsidR="00897781" w:rsidRPr="003C0885" w:rsidRDefault="00897781" w:rsidP="00897781">
      <w:pPr>
        <w:pStyle w:val="VCAAbulletlevel2"/>
        <w:rPr>
          <w:rFonts w:eastAsia="Calibri"/>
        </w:rPr>
      </w:pPr>
      <w:r w:rsidRPr="003C0885">
        <w:rPr>
          <w:rFonts w:eastAsia="Calibri"/>
        </w:rPr>
        <w:t xml:space="preserve">Case Study </w:t>
      </w:r>
      <w:r>
        <w:rPr>
          <w:rFonts w:eastAsia="Calibri"/>
        </w:rPr>
        <w:t xml:space="preserve">– </w:t>
      </w:r>
      <w:r w:rsidRPr="009C617C">
        <w:rPr>
          <w:rFonts w:eastAsia="Calibri"/>
        </w:rPr>
        <w:t>Pre-</w:t>
      </w:r>
      <w:proofErr w:type="spellStart"/>
      <w:r w:rsidRPr="009C617C">
        <w:rPr>
          <w:rFonts w:eastAsia="Calibri"/>
        </w:rPr>
        <w:t>nups</w:t>
      </w:r>
      <w:proofErr w:type="spellEnd"/>
      <w:r w:rsidRPr="009C617C">
        <w:rPr>
          <w:rFonts w:eastAsia="Calibri"/>
        </w:rPr>
        <w:t xml:space="preserve"> or binding financial agreements</w:t>
      </w:r>
    </w:p>
    <w:p w:rsidR="00897781" w:rsidRPr="003C0885" w:rsidRDefault="00897781" w:rsidP="00897781">
      <w:pPr>
        <w:pStyle w:val="VCAAbulletlevel2"/>
        <w:rPr>
          <w:rFonts w:eastAsia="Calibri"/>
        </w:rPr>
      </w:pPr>
      <w:r w:rsidRPr="003C0885">
        <w:rPr>
          <w:rFonts w:eastAsia="Calibri"/>
        </w:rPr>
        <w:t xml:space="preserve">Case Study </w:t>
      </w:r>
      <w:r>
        <w:rPr>
          <w:rFonts w:eastAsia="Calibri"/>
        </w:rPr>
        <w:t>– Alternative Marriage Arrangements (Child Brides)</w:t>
      </w:r>
    </w:p>
    <w:p w:rsidR="00897781" w:rsidRPr="003C0885" w:rsidRDefault="00897781" w:rsidP="00897781">
      <w:pPr>
        <w:pStyle w:val="VCAAHeading2"/>
        <w:rPr>
          <w:lang w:val="en-AU"/>
        </w:rPr>
      </w:pPr>
      <w:r w:rsidRPr="003C0885">
        <w:rPr>
          <w:lang w:val="en-AU"/>
        </w:rPr>
        <w:t xml:space="preserve">Assessment </w:t>
      </w:r>
    </w:p>
    <w:p w:rsidR="00897781" w:rsidRPr="003C0885" w:rsidRDefault="00897781" w:rsidP="00897781">
      <w:pPr>
        <w:pStyle w:val="VCAAbullet"/>
        <w:rPr>
          <w:rFonts w:eastAsia="Calibri"/>
        </w:rPr>
      </w:pPr>
      <w:r>
        <w:rPr>
          <w:rFonts w:eastAsia="Calibri"/>
        </w:rPr>
        <w:t>Debate</w:t>
      </w:r>
    </w:p>
    <w:sectPr w:rsidR="00897781" w:rsidRPr="003C0885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81" w:rsidRDefault="00897781" w:rsidP="00304EA1">
      <w:r>
        <w:separator/>
      </w:r>
    </w:p>
  </w:endnote>
  <w:endnote w:type="continuationSeparator" w:id="0">
    <w:p w:rsidR="00897781" w:rsidRDefault="00897781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97781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897781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35C1879" wp14:editId="6F2399A5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81" w:rsidRDefault="00897781" w:rsidP="00304EA1">
      <w:r>
        <w:separator/>
      </w:r>
    </w:p>
  </w:footnote>
  <w:footnote w:type="continuationSeparator" w:id="0">
    <w:p w:rsidR="00897781" w:rsidRDefault="00897781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07436964F7C44FAD909DD591A80AA1A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897781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9 – Family Law Investigation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ind w:right="-142"/>
      <w:jc w:val="right"/>
    </w:pPr>
    <w:r>
      <w:rPr>
        <w:noProof/>
        <w:lang w:val="en-AU" w:eastAsia="en-AU"/>
      </w:rPr>
      <w:drawing>
        <wp:inline distT="0" distB="0" distL="0" distR="0" wp14:anchorId="0030BB0B" wp14:editId="688437C3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158"/>
    <w:multiLevelType w:val="hybridMultilevel"/>
    <w:tmpl w:val="C83ADA3C"/>
    <w:lvl w:ilvl="0" w:tplc="95705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16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F1B2AD2"/>
    <w:multiLevelType w:val="hybridMultilevel"/>
    <w:tmpl w:val="C6B487B0"/>
    <w:lvl w:ilvl="0" w:tplc="95705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16"/>
      </w:rPr>
    </w:lvl>
    <w:lvl w:ilvl="1" w:tplc="097668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81"/>
    <w:rsid w:val="00003885"/>
    <w:rsid w:val="0005780E"/>
    <w:rsid w:val="00065CC6"/>
    <w:rsid w:val="000A71F7"/>
    <w:rsid w:val="000D1C86"/>
    <w:rsid w:val="000F09E4"/>
    <w:rsid w:val="000F16FD"/>
    <w:rsid w:val="00172BB1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36747"/>
    <w:rsid w:val="00773E6C"/>
    <w:rsid w:val="00781FB1"/>
    <w:rsid w:val="00813C37"/>
    <w:rsid w:val="008154B5"/>
    <w:rsid w:val="00823962"/>
    <w:rsid w:val="00852719"/>
    <w:rsid w:val="00860115"/>
    <w:rsid w:val="0088783C"/>
    <w:rsid w:val="00897781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A06C1"/>
    <w:rsid w:val="00BD0724"/>
    <w:rsid w:val="00BD2B91"/>
    <w:rsid w:val="00BE5521"/>
    <w:rsid w:val="00C53263"/>
    <w:rsid w:val="00C75F1D"/>
    <w:rsid w:val="00CB68E8"/>
    <w:rsid w:val="00D04F01"/>
    <w:rsid w:val="00D07E98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07A9E8"/>
  <w15:docId w15:val="{460209CA-EEBA-4D83-B072-B29C956B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81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hAnsi="Arial Narrow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Title">
    <w:name w:val="Title"/>
    <w:basedOn w:val="Normal"/>
    <w:link w:val="TitleChar"/>
    <w:qFormat/>
    <w:rsid w:val="00897781"/>
    <w:pPr>
      <w:jc w:val="center"/>
    </w:pPr>
    <w:rPr>
      <w:rFonts w:cs="Times New Roman"/>
      <w:b/>
      <w:bCs/>
      <w:sz w:val="96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897781"/>
    <w:rPr>
      <w:rFonts w:ascii="Arial" w:eastAsia="Times New Roman" w:hAnsi="Arial" w:cs="Times New Roman"/>
      <w:b/>
      <w:bCs/>
      <w:sz w:val="96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36964F7C44FAD909DD591A80A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89A8-E8EA-421A-80B3-E7C2A3C4C7C9}"/>
      </w:docPartPr>
      <w:docPartBody>
        <w:p w:rsidR="00587444" w:rsidRDefault="00587444">
          <w:pPr>
            <w:pStyle w:val="07436964F7C44FAD909DD591A80AA1A4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44"/>
    <w:rsid w:val="0058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436964F7C44FAD909DD591A80AA1A4">
    <w:name w:val="07436964F7C44FAD909DD591A80AA1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D648-72FA-48EE-9CC9-FA438431EA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2.xml><?xml version="1.0" encoding="utf-8"?>
<ds:datastoreItem xmlns:ds="http://schemas.openxmlformats.org/officeDocument/2006/customXml" ds:itemID="{2A5E6ED6-17D3-4CE5-A18E-E83926291C04}"/>
</file>

<file path=customXml/itemProps3.xml><?xml version="1.0" encoding="utf-8"?>
<ds:datastoreItem xmlns:ds="http://schemas.openxmlformats.org/officeDocument/2006/customXml" ds:itemID="{69A00A07-C608-40A0-A81E-99F2B6792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65B1B-3B36-4666-A3EA-C3D8C136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9 – Family Law Investigation</vt:lpstr>
    </vt:vector>
  </TitlesOfParts>
  <Company>Victorian Curriculum and Assessment Authority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9 – Family Law Investigation</dc:title>
  <dc:creator>VCAA</dc:creator>
  <cp:lastModifiedBy>Coleman, Julie J</cp:lastModifiedBy>
  <cp:revision>7</cp:revision>
  <cp:lastPrinted>2015-05-15T02:36:00Z</cp:lastPrinted>
  <dcterms:created xsi:type="dcterms:W3CDTF">2017-07-20T01:08:00Z</dcterms:created>
  <dcterms:modified xsi:type="dcterms:W3CDTF">2020-06-02T00:50:00Z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