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3A" w:rsidRDefault="008B2F3A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E42DA2">
        <w:rPr>
          <w:sz w:val="40"/>
          <w:szCs w:val="40"/>
        </w:rPr>
        <w:t>3</w:t>
      </w:r>
      <w:bookmarkStart w:id="0" w:name="_GoBack"/>
      <w:bookmarkEnd w:id="0"/>
    </w:p>
    <w:p w:rsidR="008B2F3A" w:rsidRPr="00F94C71" w:rsidRDefault="008B2F3A" w:rsidP="008B2F3A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Legal Studies School-Assessed Coursework Performance Descriptors Unit 4 Outcome 1"/>
        <w:tblDescription w:val="VCE Legal Studies School-Assessed Coursework Performance Descriptors Unit 4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8B2F3A" w:rsidTr="00B072C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:rsidR="008B2F3A" w:rsidRPr="00F94C71" w:rsidRDefault="008B2F3A" w:rsidP="00CC289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>VCE LEGAL STUDIES</w:t>
            </w:r>
          </w:p>
          <w:p w:rsidR="008B2F3A" w:rsidRDefault="008B2F3A" w:rsidP="00CC289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8B2F3A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:rsidR="008B2F3A" w:rsidRPr="009B7B3B" w:rsidRDefault="008B2F3A" w:rsidP="00CC2891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8B2F3A" w:rsidRPr="006770E6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:rsidR="008B2F3A" w:rsidRPr="006770E6" w:rsidRDefault="008B2F3A" w:rsidP="00CC2891">
            <w:pPr>
              <w:rPr>
                <w:sz w:val="12"/>
                <w:szCs w:val="12"/>
              </w:rPr>
            </w:pPr>
          </w:p>
        </w:tc>
      </w:tr>
      <w:tr w:rsidR="00DF1ECD" w:rsidTr="00DB4A84">
        <w:tc>
          <w:tcPr>
            <w:tcW w:w="2093" w:type="dxa"/>
            <w:vMerge w:val="restart"/>
            <w:vAlign w:val="center"/>
          </w:tcPr>
          <w:p w:rsidR="00DF1ECD" w:rsidRPr="008B2F3A" w:rsidRDefault="00DF1ECD" w:rsidP="008B2F3A">
            <w:pPr>
              <w:pStyle w:val="VCAAtablecondensed"/>
              <w:rPr>
                <w:b/>
                <w:i/>
                <w:sz w:val="20"/>
                <w:szCs w:val="20"/>
              </w:rPr>
            </w:pPr>
            <w:r w:rsidRPr="008B2F3A">
              <w:rPr>
                <w:b/>
                <w:i/>
                <w:sz w:val="20"/>
                <w:szCs w:val="20"/>
              </w:rPr>
              <w:t>Unit 4</w:t>
            </w:r>
          </w:p>
          <w:p w:rsidR="00DF1ECD" w:rsidRPr="008B2F3A" w:rsidRDefault="00DF1ECD" w:rsidP="008B2F3A">
            <w:pPr>
              <w:pStyle w:val="VCAAtablecondensed"/>
              <w:rPr>
                <w:b/>
                <w:i/>
                <w:sz w:val="20"/>
                <w:szCs w:val="20"/>
              </w:rPr>
            </w:pPr>
            <w:r w:rsidRPr="008B2F3A">
              <w:rPr>
                <w:b/>
                <w:i/>
                <w:sz w:val="20"/>
                <w:szCs w:val="20"/>
              </w:rPr>
              <w:t>Outcome 1</w:t>
            </w:r>
          </w:p>
          <w:p w:rsidR="00DF1ECD" w:rsidRPr="00A431D3" w:rsidRDefault="00DF1ECD" w:rsidP="008B2F3A">
            <w:pPr>
              <w:pStyle w:val="VCAAtablecondensed"/>
              <w:rPr>
                <w:i/>
              </w:rPr>
            </w:pPr>
            <w:r w:rsidRPr="00A431D3">
              <w:rPr>
                <w:b/>
                <w:i/>
                <w:sz w:val="20"/>
                <w:szCs w:val="20"/>
              </w:rPr>
              <w:t>Discuss the significance of High Court cases involving the interpretation of the Australian Constitution and evaluate the ways in which the Australian Constitution acts as a check on parliament in law-making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:rsidR="00DF1ECD" w:rsidRPr="00EC42E9" w:rsidRDefault="00DF1ECD" w:rsidP="00804C8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F1ECD" w:rsidRPr="00497336" w:rsidTr="00DB4A84">
        <w:trPr>
          <w:trHeight w:val="170"/>
        </w:trPr>
        <w:tc>
          <w:tcPr>
            <w:tcW w:w="2093" w:type="dxa"/>
            <w:vMerge/>
            <w:vAlign w:val="center"/>
          </w:tcPr>
          <w:p w:rsidR="00DF1ECD" w:rsidRPr="00497336" w:rsidRDefault="00DF1ECD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:rsidR="00DF1ECD" w:rsidRPr="008B2F3A" w:rsidRDefault="00DF1ECD" w:rsidP="008B2F3A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B2F3A">
              <w:rPr>
                <w:b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:rsidR="00DF1ECD" w:rsidRPr="008B2F3A" w:rsidRDefault="00DF1ECD" w:rsidP="008B2F3A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B2F3A">
              <w:rPr>
                <w:rFonts w:eastAsia="Calibri"/>
                <w:b/>
                <w:sz w:val="20"/>
                <w:szCs w:val="20"/>
              </w:rPr>
              <w:t>Low</w:t>
            </w:r>
          </w:p>
        </w:tc>
        <w:tc>
          <w:tcPr>
            <w:tcW w:w="2665" w:type="dxa"/>
            <w:vAlign w:val="center"/>
          </w:tcPr>
          <w:p w:rsidR="00DF1ECD" w:rsidRPr="008B2F3A" w:rsidRDefault="00DF1ECD" w:rsidP="008B2F3A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B2F3A">
              <w:rPr>
                <w:rFonts w:eastAsia="Calibri"/>
                <w:b/>
                <w:sz w:val="20"/>
                <w:szCs w:val="20"/>
              </w:rPr>
              <w:t>Medium</w:t>
            </w:r>
          </w:p>
        </w:tc>
        <w:tc>
          <w:tcPr>
            <w:tcW w:w="2665" w:type="dxa"/>
            <w:vAlign w:val="center"/>
          </w:tcPr>
          <w:p w:rsidR="00DF1ECD" w:rsidRPr="008B2F3A" w:rsidRDefault="00DF1ECD" w:rsidP="008B2F3A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B2F3A">
              <w:rPr>
                <w:rFonts w:eastAsia="Calibri"/>
                <w:b/>
                <w:sz w:val="20"/>
                <w:szCs w:val="20"/>
              </w:rPr>
              <w:t>High</w:t>
            </w:r>
          </w:p>
        </w:tc>
        <w:tc>
          <w:tcPr>
            <w:tcW w:w="2665" w:type="dxa"/>
            <w:vAlign w:val="center"/>
          </w:tcPr>
          <w:p w:rsidR="00DF1ECD" w:rsidRPr="008B2F3A" w:rsidRDefault="00DF1ECD" w:rsidP="008B2F3A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B2F3A">
              <w:rPr>
                <w:rFonts w:eastAsia="Calibri"/>
                <w:b/>
                <w:sz w:val="20"/>
                <w:szCs w:val="20"/>
              </w:rPr>
              <w:t>Very high</w:t>
            </w:r>
          </w:p>
        </w:tc>
      </w:tr>
      <w:tr w:rsidR="00DF1ECD" w:rsidTr="00DB4A84">
        <w:tc>
          <w:tcPr>
            <w:tcW w:w="2093" w:type="dxa"/>
            <w:vMerge/>
            <w:vAlign w:val="center"/>
          </w:tcPr>
          <w:p w:rsidR="00DF1ECD" w:rsidRDefault="00DF1ECD" w:rsidP="007C3D7A"/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 xml:space="preserve">Very limited comparison of the constitutional law-making powers of the state and Commonwealth parliaments, supported with examples. 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Some comparison of the constitutional law-making powers of the state and Commonwealth parliaments, supported with examples.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 xml:space="preserve">Appropriate and relevant comparison of the constitutional law-making powers of the state and Commonwealth parliaments, supported with accurate examples. 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Detailed comparison of the constitutional law-making powers of the state and Commonwealth parliaments, supported with accurate examples.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 xml:space="preserve">Comprehensive comparison of the constitutional law-making powers of the state and Commonwealth parliaments, supported with accurate examples. </w:t>
            </w:r>
          </w:p>
        </w:tc>
      </w:tr>
      <w:tr w:rsidR="00DF1ECD" w:rsidTr="00DB4A84">
        <w:tc>
          <w:tcPr>
            <w:tcW w:w="2093" w:type="dxa"/>
            <w:vMerge/>
          </w:tcPr>
          <w:p w:rsidR="00DF1ECD" w:rsidRDefault="00DF1ECD" w:rsidP="007C3D7A"/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Very limited discussion of the significance of the Australian Constitution section 109 and of High Court cases interpreting the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Some discussion of the significance of the Australian Constitution section 109 and of High Court cases interpreting the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Sound discussion of the significance of the Australian Constitution section 109 and of High Court cases interpreting the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Detailed discussion of the significance of the Australian Constitution section 109 and of High Court cases interpreting the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Sophisticated discussion of the significance of the Australian Constitution section 109 and of High Court cases interpreting the Constitution.</w:t>
            </w:r>
          </w:p>
        </w:tc>
      </w:tr>
      <w:tr w:rsidR="00DF1ECD" w:rsidTr="00DB4A84">
        <w:trPr>
          <w:trHeight w:val="448"/>
        </w:trPr>
        <w:tc>
          <w:tcPr>
            <w:tcW w:w="2093" w:type="dxa"/>
            <w:vMerge/>
          </w:tcPr>
          <w:p w:rsidR="00DF1ECD" w:rsidRDefault="00DF1ECD" w:rsidP="007C3D7A"/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Limited discussion of a High Court case which impacted the division of law-making powers.</w:t>
            </w:r>
          </w:p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 xml:space="preserve">Some discussion of a High Court case which impacted the division of law-making powers. 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Sound discussion of the significance of a High Court case which has impacted on the division of law-making powers.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Detailed discussion of the significance of a High Court case which has impacted on the division of law-making powers.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Sophisticated discussion of the significance of a High Court case which has impacted on the division of law-making powers.</w:t>
            </w:r>
          </w:p>
        </w:tc>
      </w:tr>
      <w:tr w:rsidR="00DF1ECD" w:rsidTr="00DB4A84">
        <w:tc>
          <w:tcPr>
            <w:tcW w:w="2093" w:type="dxa"/>
            <w:vMerge/>
          </w:tcPr>
          <w:p w:rsidR="00DF1ECD" w:rsidRDefault="00DF1ECD" w:rsidP="007C3D7A"/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Limited discussion of the ways in which the Australian Constitution acts as a check on parliament in law-making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Some evaluation of the ways in which the Australian Constitution acts as a check on parliament in law-making.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Sound evaluation of the ways in which the Australian Constitution acts as a check on parliament in law-making.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Careful evaluation of the ways in which the Australian Constitution acts as a check on parliament in law-making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Critical evaluation of the ways in which the Australian Constitution acts as a check on parliament in law-making</w:t>
            </w:r>
          </w:p>
        </w:tc>
      </w:tr>
      <w:tr w:rsidR="00DF1ECD" w:rsidTr="00DB4A84">
        <w:tc>
          <w:tcPr>
            <w:tcW w:w="2093" w:type="dxa"/>
            <w:vMerge/>
          </w:tcPr>
          <w:p w:rsidR="00DF1ECD" w:rsidRDefault="00DF1ECD" w:rsidP="007C3D7A"/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Limited explanation of the ability of the Australian people to protect or change the Australian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Some analysis of the ability of the Australian people to protect or change the Australian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Sound analysis of the ability of the Australian people to protect or change the Australian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Detailed analysis of the ability of the Australian people to protect or change the Australian Constitution.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Insightful analysis of the ability of the Australian people to protect or change the Australian Constitution.</w:t>
            </w:r>
          </w:p>
        </w:tc>
      </w:tr>
      <w:tr w:rsidR="00DF1ECD" w:rsidTr="00DB4A84">
        <w:tc>
          <w:tcPr>
            <w:tcW w:w="2093" w:type="dxa"/>
            <w:vMerge/>
          </w:tcPr>
          <w:p w:rsidR="00DF1ECD" w:rsidRDefault="00DF1ECD" w:rsidP="007C3D7A"/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Limited discussion of the impact of international declarations and treaties on the interpretation of the external affairs power.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Some discussion of the impact of international declarations and treaties on the interpretation of the external affairs power.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Sound discussion of the impact of international declarations and treaties on the interpretation of the external affairs power.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Detailed discussion of the impact of international declarations and treaties on the interpretation of the external affairs power.</w:t>
            </w:r>
          </w:p>
        </w:tc>
        <w:tc>
          <w:tcPr>
            <w:tcW w:w="2665" w:type="dxa"/>
          </w:tcPr>
          <w:p w:rsidR="00DF1ECD" w:rsidRPr="008B2F3A" w:rsidRDefault="00DF1ECD" w:rsidP="008B2F3A">
            <w:pPr>
              <w:pStyle w:val="VCAAtablecondensed"/>
              <w:spacing w:before="40" w:after="40" w:line="240" w:lineRule="auto"/>
              <w:rPr>
                <w:sz w:val="18"/>
                <w:szCs w:val="18"/>
              </w:rPr>
            </w:pPr>
            <w:r w:rsidRPr="008B2F3A">
              <w:rPr>
                <w:sz w:val="18"/>
                <w:szCs w:val="18"/>
              </w:rPr>
              <w:t>Sophisticated discussion of the impact of international declarations and treaties on the interpretation of the external affairs power.</w:t>
            </w:r>
          </w:p>
        </w:tc>
      </w:tr>
    </w:tbl>
    <w:p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:rsidR="007C3D7A" w:rsidRPr="008B2F3A" w:rsidRDefault="007C3D7A" w:rsidP="008B2F3A">
      <w:pPr>
        <w:pStyle w:val="VCAAtablecondensed"/>
        <w:spacing w:before="0" w:line="240" w:lineRule="auto"/>
        <w:rPr>
          <w:sz w:val="20"/>
          <w:szCs w:val="20"/>
        </w:rPr>
      </w:pPr>
      <w:r w:rsidRPr="008B2F3A">
        <w:rPr>
          <w:sz w:val="20"/>
          <w:szCs w:val="20"/>
        </w:rPr>
        <w:t>KEY to marking scale bas</w:t>
      </w:r>
      <w:r w:rsidR="00DF1ECD" w:rsidRPr="008B2F3A">
        <w:rPr>
          <w:sz w:val="20"/>
          <w:szCs w:val="20"/>
        </w:rPr>
        <w:t>ed on the Outcome contributing 4</w:t>
      </w:r>
      <w:r w:rsidRPr="008B2F3A">
        <w:rPr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1 Marking Scale"/>
        <w:tblDescription w:val="Unit 4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B072C2">
        <w:trPr>
          <w:tblHeader/>
        </w:trPr>
        <w:tc>
          <w:tcPr>
            <w:tcW w:w="2062" w:type="dxa"/>
            <w:vAlign w:val="center"/>
          </w:tcPr>
          <w:p w:rsidR="007C3D7A" w:rsidRPr="00496090" w:rsidRDefault="00DF1ECD" w:rsidP="008B2F3A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496090">
              <w:rPr>
                <w:sz w:val="18"/>
                <w:szCs w:val="18"/>
              </w:rPr>
              <w:t>Very Low 1–8</w:t>
            </w:r>
          </w:p>
        </w:tc>
        <w:tc>
          <w:tcPr>
            <w:tcW w:w="2063" w:type="dxa"/>
            <w:vAlign w:val="center"/>
          </w:tcPr>
          <w:p w:rsidR="007C3D7A" w:rsidRPr="00496090" w:rsidRDefault="00DF1ECD" w:rsidP="008B2F3A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496090">
              <w:rPr>
                <w:sz w:val="18"/>
                <w:szCs w:val="18"/>
              </w:rPr>
              <w:t>Low 9–16</w:t>
            </w:r>
          </w:p>
        </w:tc>
        <w:tc>
          <w:tcPr>
            <w:tcW w:w="2063" w:type="dxa"/>
            <w:vAlign w:val="center"/>
          </w:tcPr>
          <w:p w:rsidR="007C3D7A" w:rsidRPr="00496090" w:rsidRDefault="00DF1ECD" w:rsidP="008B2F3A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496090">
              <w:rPr>
                <w:sz w:val="18"/>
                <w:szCs w:val="18"/>
              </w:rPr>
              <w:t>Medium 17–24</w:t>
            </w:r>
          </w:p>
        </w:tc>
        <w:tc>
          <w:tcPr>
            <w:tcW w:w="2063" w:type="dxa"/>
            <w:vAlign w:val="center"/>
          </w:tcPr>
          <w:p w:rsidR="007C3D7A" w:rsidRPr="00496090" w:rsidRDefault="00DF1ECD" w:rsidP="008B2F3A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496090">
              <w:rPr>
                <w:sz w:val="18"/>
                <w:szCs w:val="18"/>
              </w:rPr>
              <w:t>High 25–32</w:t>
            </w:r>
          </w:p>
        </w:tc>
        <w:tc>
          <w:tcPr>
            <w:tcW w:w="2063" w:type="dxa"/>
            <w:vAlign w:val="center"/>
          </w:tcPr>
          <w:p w:rsidR="007C3D7A" w:rsidRPr="00496090" w:rsidRDefault="00DF1ECD" w:rsidP="008B2F3A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496090">
              <w:rPr>
                <w:sz w:val="18"/>
                <w:szCs w:val="18"/>
              </w:rPr>
              <w:t>Very High 33–4</w:t>
            </w:r>
            <w:r w:rsidR="007C3D7A" w:rsidRPr="00496090">
              <w:rPr>
                <w:sz w:val="18"/>
                <w:szCs w:val="18"/>
              </w:rPr>
              <w:t>0</w:t>
            </w:r>
          </w:p>
        </w:tc>
      </w:tr>
    </w:tbl>
    <w:p w:rsidR="00EC42E9" w:rsidRPr="00555FE1" w:rsidRDefault="00EC42E9" w:rsidP="00804C86">
      <w:pPr>
        <w:spacing w:after="0" w:line="240" w:lineRule="auto"/>
        <w:rPr>
          <w:sz w:val="4"/>
          <w:szCs w:val="4"/>
        </w:rPr>
      </w:pPr>
    </w:p>
    <w:sectPr w:rsidR="00EC42E9" w:rsidRPr="00555FE1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B2F3A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D288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470A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E07AA"/>
    <w:rsid w:val="00400A2A"/>
    <w:rsid w:val="00416B45"/>
    <w:rsid w:val="00417AA3"/>
    <w:rsid w:val="00440B32"/>
    <w:rsid w:val="0046078D"/>
    <w:rsid w:val="00496090"/>
    <w:rsid w:val="004A2ED8"/>
    <w:rsid w:val="004F5BDA"/>
    <w:rsid w:val="0051631E"/>
    <w:rsid w:val="00536E80"/>
    <w:rsid w:val="00555FE1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52719"/>
    <w:rsid w:val="00860115"/>
    <w:rsid w:val="0088783C"/>
    <w:rsid w:val="008B2F3A"/>
    <w:rsid w:val="008F72A2"/>
    <w:rsid w:val="009370BC"/>
    <w:rsid w:val="0094171F"/>
    <w:rsid w:val="0098739B"/>
    <w:rsid w:val="00A17661"/>
    <w:rsid w:val="00A24B2D"/>
    <w:rsid w:val="00A30AF1"/>
    <w:rsid w:val="00A40966"/>
    <w:rsid w:val="00A431D3"/>
    <w:rsid w:val="00A51560"/>
    <w:rsid w:val="00A921E0"/>
    <w:rsid w:val="00B072C2"/>
    <w:rsid w:val="00B0738F"/>
    <w:rsid w:val="00B26601"/>
    <w:rsid w:val="00B41951"/>
    <w:rsid w:val="00B53229"/>
    <w:rsid w:val="00B62480"/>
    <w:rsid w:val="00B81B70"/>
    <w:rsid w:val="00B86963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B4A84"/>
    <w:rsid w:val="00DC21C3"/>
    <w:rsid w:val="00DF1ECD"/>
    <w:rsid w:val="00E00677"/>
    <w:rsid w:val="00E23F1D"/>
    <w:rsid w:val="00E36361"/>
    <w:rsid w:val="00E42DA2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2473C2"/>
  <w15:docId w15:val="{65ACB77D-514D-49F6-AF95-8424258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6E19-E88C-4A9E-B130-341C0CACC4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2.xml><?xml version="1.0" encoding="utf-8"?>
<ds:datastoreItem xmlns:ds="http://schemas.openxmlformats.org/officeDocument/2006/customXml" ds:itemID="{90291064-6F30-47E8-8AED-E7179EA8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58976-84CD-4EBA-A117-247D946CFEBD}"/>
</file>

<file path=customXml/itemProps4.xml><?xml version="1.0" encoding="utf-8"?>
<ds:datastoreItem xmlns:ds="http://schemas.openxmlformats.org/officeDocument/2006/customXml" ds:itemID="{77A94647-7B1B-4216-8D22-FF1A0D4A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11</cp:revision>
  <cp:lastPrinted>2015-05-15T02:35:00Z</cp:lastPrinted>
  <dcterms:created xsi:type="dcterms:W3CDTF">2017-06-30T05:07:00Z</dcterms:created>
  <dcterms:modified xsi:type="dcterms:W3CDTF">2020-06-02T00:52:00Z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