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1F" w:rsidRPr="00AC3EE8" w:rsidRDefault="00A8271F" w:rsidP="00A8271F">
      <w:pPr>
        <w:pStyle w:val="VCAAHeading1"/>
        <w:spacing w:after="120"/>
        <w:rPr>
          <w:color w:val="auto"/>
          <w:lang w:val="en-AU"/>
        </w:rPr>
      </w:pPr>
      <w:bookmarkStart w:id="0" w:name="_Toc431820942"/>
      <w:bookmarkStart w:id="1" w:name="_Toc431892304"/>
      <w:bookmarkStart w:id="2" w:name="_Toc460939101"/>
      <w:r>
        <w:rPr>
          <w:color w:val="auto"/>
        </w:rPr>
        <w:t xml:space="preserve">VCE </w:t>
      </w:r>
      <w:r w:rsidR="00095202">
        <w:rPr>
          <w:color w:val="auto"/>
        </w:rPr>
        <w:t>Physics</w:t>
      </w:r>
      <w:r w:rsidRPr="00AC3EE8">
        <w:rPr>
          <w:color w:val="auto"/>
        </w:rPr>
        <w:t>: Sample teaching plan</w:t>
      </w:r>
      <w:bookmarkEnd w:id="0"/>
      <w:bookmarkEnd w:id="1"/>
      <w:bookmarkEnd w:id="2"/>
    </w:p>
    <w:p w:rsidR="00BB5A65" w:rsidRPr="00DA755A" w:rsidRDefault="00BB5A65" w:rsidP="00BB5A65">
      <w:pPr>
        <w:pStyle w:val="VCAAHeading4"/>
        <w:spacing w:before="0" w:after="0"/>
        <w:rPr>
          <w:color w:val="auto"/>
        </w:rPr>
      </w:pPr>
      <w:r w:rsidRPr="00DA755A">
        <w:rPr>
          <w:color w:val="auto"/>
        </w:rPr>
        <w:t xml:space="preserve">Sample Course Outline – VCE </w:t>
      </w:r>
      <w:r w:rsidR="00095202">
        <w:rPr>
          <w:color w:val="auto"/>
        </w:rPr>
        <w:t>Physics</w:t>
      </w:r>
      <w:r w:rsidRPr="00DA755A">
        <w:rPr>
          <w:color w:val="auto"/>
        </w:rPr>
        <w:t xml:space="preserve"> Unit 1: </w:t>
      </w:r>
      <w:r w:rsidR="00265330">
        <w:rPr>
          <w:color w:val="auto"/>
        </w:rPr>
        <w:t>What ideas explain the physical world</w:t>
      </w:r>
      <w:r w:rsidRPr="00DA755A">
        <w:rPr>
          <w:color w:val="auto"/>
        </w:rPr>
        <w:t>?</w:t>
      </w:r>
    </w:p>
    <w:p w:rsidR="00BB5A65" w:rsidRPr="00DA755A" w:rsidRDefault="00BB5A65" w:rsidP="00BB5A65">
      <w:pPr>
        <w:pStyle w:val="VCAAbody"/>
        <w:spacing w:before="60"/>
        <w:rPr>
          <w:color w:val="auto"/>
        </w:rPr>
      </w:pPr>
      <w:r w:rsidRPr="00DA755A">
        <w:rPr>
          <w:b/>
          <w:color w:val="auto"/>
          <w:lang w:val="en-AU"/>
        </w:rPr>
        <w:t>Note:</w:t>
      </w:r>
      <w:r w:rsidRPr="00DA755A">
        <w:rPr>
          <w:color w:val="auto"/>
          <w:lang w:val="en-AU"/>
        </w:rPr>
        <w:t xml:space="preserve"> </w:t>
      </w:r>
      <w:r w:rsidR="00095202" w:rsidRPr="002E5461">
        <w:t xml:space="preserve">This is a sample guide only and indicates one way to present the content from the Study Design over the weeks in each school term. Teachers </w:t>
      </w:r>
      <w:proofErr w:type="gramStart"/>
      <w:r w:rsidR="00095202" w:rsidRPr="002E5461">
        <w:t>are advised</w:t>
      </w:r>
      <w:proofErr w:type="gramEnd"/>
      <w:r w:rsidR="00095202" w:rsidRPr="002E5461">
        <w:t xml:space="preserve"> to consider their own contexts in developing learning activities: Which local fieldwork sites would support learning in the topic area? Which local issues lend themselves to debate and investigation? Which experiments can students complete within the resource limitations of their learning environments?</w:t>
      </w:r>
    </w:p>
    <w:tbl>
      <w:tblPr>
        <w:tblStyle w:val="TableGrid"/>
        <w:tblW w:w="14884" w:type="dxa"/>
        <w:tblInd w:w="-85" w:type="dxa"/>
        <w:tblLayout w:type="fixed"/>
        <w:tblCellMar>
          <w:left w:w="57" w:type="dxa"/>
          <w:right w:w="57" w:type="dxa"/>
        </w:tblCellMar>
        <w:tblLook w:val="04A0" w:firstRow="1" w:lastRow="0" w:firstColumn="1" w:lastColumn="0" w:noHBand="0" w:noVBand="1"/>
      </w:tblPr>
      <w:tblGrid>
        <w:gridCol w:w="760"/>
        <w:gridCol w:w="1934"/>
        <w:gridCol w:w="9639"/>
        <w:gridCol w:w="2551"/>
      </w:tblGrid>
      <w:tr w:rsidR="00095202" w:rsidRPr="002E5461" w:rsidTr="0079767E">
        <w:tc>
          <w:tcPr>
            <w:tcW w:w="760" w:type="dxa"/>
            <w:shd w:val="clear" w:color="auto" w:fill="D9D9D9" w:themeFill="background1" w:themeFillShade="D9"/>
            <w:vAlign w:val="center"/>
          </w:tcPr>
          <w:p w:rsidR="00095202" w:rsidRPr="002E5461" w:rsidRDefault="00095202" w:rsidP="0079767E">
            <w:pPr>
              <w:pStyle w:val="VCAAtablecondensedheading"/>
              <w:rPr>
                <w:b/>
              </w:rPr>
            </w:pPr>
            <w:r w:rsidRPr="002E5461">
              <w:rPr>
                <w:b/>
              </w:rPr>
              <w:t>Week</w:t>
            </w:r>
          </w:p>
        </w:tc>
        <w:tc>
          <w:tcPr>
            <w:tcW w:w="1934" w:type="dxa"/>
            <w:shd w:val="clear" w:color="auto" w:fill="D9D9D9" w:themeFill="background1" w:themeFillShade="D9"/>
            <w:vAlign w:val="center"/>
          </w:tcPr>
          <w:p w:rsidR="00095202" w:rsidRPr="002E5461" w:rsidRDefault="00095202" w:rsidP="0079767E">
            <w:pPr>
              <w:pStyle w:val="VCAAtablecondensedheading"/>
              <w:rPr>
                <w:b/>
              </w:rPr>
            </w:pPr>
            <w:r w:rsidRPr="002E5461">
              <w:rPr>
                <w:b/>
              </w:rPr>
              <w:t>Area</w:t>
            </w:r>
          </w:p>
        </w:tc>
        <w:tc>
          <w:tcPr>
            <w:tcW w:w="9639" w:type="dxa"/>
            <w:shd w:val="clear" w:color="auto" w:fill="D9D9D9" w:themeFill="background1" w:themeFillShade="D9"/>
            <w:vAlign w:val="center"/>
          </w:tcPr>
          <w:p w:rsidR="00095202" w:rsidRPr="002E5461" w:rsidRDefault="00095202" w:rsidP="0079767E">
            <w:pPr>
              <w:pStyle w:val="VCAAtablecondensedheading"/>
              <w:rPr>
                <w:b/>
              </w:rPr>
            </w:pPr>
            <w:r w:rsidRPr="002E5461">
              <w:rPr>
                <w:b/>
              </w:rPr>
              <w:t>Topics</w:t>
            </w:r>
          </w:p>
        </w:tc>
        <w:tc>
          <w:tcPr>
            <w:tcW w:w="2551" w:type="dxa"/>
            <w:shd w:val="clear" w:color="auto" w:fill="D9D9D9" w:themeFill="background1" w:themeFillShade="D9"/>
            <w:vAlign w:val="center"/>
          </w:tcPr>
          <w:p w:rsidR="00095202" w:rsidRPr="002E5461" w:rsidRDefault="00095202" w:rsidP="0079767E">
            <w:pPr>
              <w:pStyle w:val="VCAAtablecondensedheading"/>
              <w:rPr>
                <w:b/>
              </w:rPr>
            </w:pPr>
            <w:r w:rsidRPr="002E5461">
              <w:rPr>
                <w:b/>
              </w:rPr>
              <w:t>Practical work</w:t>
            </w:r>
          </w:p>
        </w:tc>
      </w:tr>
      <w:tr w:rsidR="00095202" w:rsidRPr="00DC142A" w:rsidTr="0079767E">
        <w:tc>
          <w:tcPr>
            <w:tcW w:w="760" w:type="dxa"/>
            <w:vAlign w:val="center"/>
          </w:tcPr>
          <w:p w:rsidR="00095202" w:rsidRPr="002E5461" w:rsidRDefault="00095202" w:rsidP="0079767E">
            <w:pPr>
              <w:pStyle w:val="VCAAtablecondensed"/>
              <w:jc w:val="center"/>
            </w:pPr>
            <w:r w:rsidRPr="002E5461">
              <w:t>1</w:t>
            </w:r>
          </w:p>
        </w:tc>
        <w:tc>
          <w:tcPr>
            <w:tcW w:w="1934" w:type="dxa"/>
            <w:vMerge w:val="restart"/>
            <w:vAlign w:val="center"/>
          </w:tcPr>
          <w:p w:rsidR="00095202" w:rsidRPr="002E5461" w:rsidRDefault="00095202" w:rsidP="0079767E">
            <w:pPr>
              <w:pStyle w:val="VCAAtablecondensed"/>
              <w:jc w:val="center"/>
              <w:rPr>
                <w:lang w:val="en-AU"/>
              </w:rPr>
            </w:pPr>
            <w:r w:rsidRPr="00F81CE3">
              <w:rPr>
                <w:b/>
                <w:lang w:val="en-AU"/>
              </w:rPr>
              <w:t xml:space="preserve">How </w:t>
            </w:r>
            <w:proofErr w:type="gramStart"/>
            <w:r w:rsidRPr="00F81CE3">
              <w:rPr>
                <w:b/>
                <w:lang w:val="en-AU"/>
              </w:rPr>
              <w:t xml:space="preserve">can </w:t>
            </w:r>
            <w:r w:rsidRPr="00A02F0B">
              <w:rPr>
                <w:b/>
                <w:lang w:val="en-AU"/>
              </w:rPr>
              <w:t>thermal</w:t>
            </w:r>
            <w:r w:rsidRPr="00F81CE3">
              <w:rPr>
                <w:b/>
                <w:lang w:val="en-AU"/>
              </w:rPr>
              <w:t xml:space="preserve"> effects</w:t>
            </w:r>
            <w:r>
              <w:rPr>
                <w:b/>
                <w:lang w:val="en-AU"/>
              </w:rPr>
              <w:t xml:space="preserve"> </w:t>
            </w:r>
            <w:r w:rsidRPr="00F81CE3">
              <w:rPr>
                <w:b/>
                <w:lang w:val="en-AU"/>
              </w:rPr>
              <w:t>be explained</w:t>
            </w:r>
            <w:proofErr w:type="gramEnd"/>
            <w:r w:rsidRPr="00F81CE3">
              <w:rPr>
                <w:b/>
                <w:lang w:val="en-AU"/>
              </w:rPr>
              <w:t>?</w:t>
            </w:r>
          </w:p>
        </w:tc>
        <w:tc>
          <w:tcPr>
            <w:tcW w:w="9639" w:type="dxa"/>
            <w:vAlign w:val="center"/>
          </w:tcPr>
          <w:p w:rsidR="00095202" w:rsidRPr="002E5461" w:rsidRDefault="00095202" w:rsidP="0079767E">
            <w:pPr>
              <w:pStyle w:val="VCAAtablecondensed"/>
            </w:pPr>
            <w:r w:rsidRPr="002E5461">
              <w:t xml:space="preserve">Temperature; kinetic energy model; Zeroth law; first law; internal energy. </w:t>
            </w:r>
          </w:p>
        </w:tc>
        <w:tc>
          <w:tcPr>
            <w:tcW w:w="2551" w:type="dxa"/>
            <w:vAlign w:val="center"/>
          </w:tcPr>
          <w:p w:rsidR="00095202" w:rsidRPr="002E5461" w:rsidRDefault="00095202" w:rsidP="0079767E">
            <w:pPr>
              <w:pStyle w:val="VCAAtablecondensed"/>
            </w:pPr>
            <w:r w:rsidRPr="002E5461">
              <w:t>Measuring temperature</w:t>
            </w:r>
          </w:p>
        </w:tc>
      </w:tr>
      <w:tr w:rsidR="00095202" w:rsidRPr="00DC142A" w:rsidTr="0079767E">
        <w:tc>
          <w:tcPr>
            <w:tcW w:w="760" w:type="dxa"/>
            <w:vAlign w:val="center"/>
          </w:tcPr>
          <w:p w:rsidR="00095202" w:rsidRPr="002E5461" w:rsidRDefault="00095202" w:rsidP="0079767E">
            <w:pPr>
              <w:pStyle w:val="VCAAtablecondensed"/>
              <w:jc w:val="center"/>
            </w:pPr>
            <w:r w:rsidRPr="002E5461">
              <w:t>2</w:t>
            </w:r>
          </w:p>
        </w:tc>
        <w:tc>
          <w:tcPr>
            <w:tcW w:w="1934" w:type="dxa"/>
            <w:vMerge/>
            <w:vAlign w:val="center"/>
          </w:tcPr>
          <w:p w:rsidR="00095202" w:rsidRPr="002E5461" w:rsidRDefault="00095202" w:rsidP="0079767E">
            <w:pPr>
              <w:pStyle w:val="VCAAtablecondensed"/>
              <w:jc w:val="center"/>
              <w:rPr>
                <w:lang w:val="en-AU"/>
              </w:rPr>
            </w:pPr>
          </w:p>
        </w:tc>
        <w:tc>
          <w:tcPr>
            <w:tcW w:w="9639" w:type="dxa"/>
            <w:vAlign w:val="center"/>
          </w:tcPr>
          <w:p w:rsidR="00095202" w:rsidRPr="002E5461" w:rsidRDefault="00095202" w:rsidP="0079767E">
            <w:pPr>
              <w:pStyle w:val="VCAAtablecondensed"/>
            </w:pPr>
            <w:r w:rsidRPr="002E5461">
              <w:t xml:space="preserve">Energy required to change temperature and state (latent and specific heat capacity); evaporative cooling. </w:t>
            </w:r>
          </w:p>
        </w:tc>
        <w:tc>
          <w:tcPr>
            <w:tcW w:w="2551" w:type="dxa"/>
            <w:vAlign w:val="center"/>
          </w:tcPr>
          <w:p w:rsidR="00095202" w:rsidRPr="002E5461" w:rsidRDefault="00095202" w:rsidP="0079767E">
            <w:pPr>
              <w:pStyle w:val="VCAAtablecondensed"/>
            </w:pPr>
            <w:r w:rsidRPr="002E5461">
              <w:t>Conduction, convection and radiation; heat capacity</w:t>
            </w:r>
          </w:p>
        </w:tc>
      </w:tr>
      <w:tr w:rsidR="00095202" w:rsidRPr="00DC142A" w:rsidTr="0079767E">
        <w:tc>
          <w:tcPr>
            <w:tcW w:w="760" w:type="dxa"/>
            <w:vAlign w:val="center"/>
          </w:tcPr>
          <w:p w:rsidR="00095202" w:rsidRPr="002E5461" w:rsidRDefault="00095202" w:rsidP="0079767E">
            <w:pPr>
              <w:pStyle w:val="VCAAtablecondensed"/>
              <w:jc w:val="center"/>
            </w:pPr>
            <w:r w:rsidRPr="002E5461">
              <w:t>3</w:t>
            </w:r>
          </w:p>
        </w:tc>
        <w:tc>
          <w:tcPr>
            <w:tcW w:w="1934" w:type="dxa"/>
            <w:vMerge/>
            <w:vAlign w:val="center"/>
          </w:tcPr>
          <w:p w:rsidR="00095202" w:rsidRPr="002E5461" w:rsidRDefault="00095202" w:rsidP="0079767E">
            <w:pPr>
              <w:pStyle w:val="VCAAtablecondensed"/>
              <w:jc w:val="center"/>
              <w:rPr>
                <w:lang w:val="en-AU"/>
              </w:rPr>
            </w:pPr>
          </w:p>
        </w:tc>
        <w:tc>
          <w:tcPr>
            <w:tcW w:w="9639" w:type="dxa"/>
            <w:vAlign w:val="center"/>
          </w:tcPr>
          <w:p w:rsidR="00095202" w:rsidRPr="002E5461" w:rsidRDefault="00095202" w:rsidP="0079767E">
            <w:pPr>
              <w:pStyle w:val="VCAAtablecondensed"/>
            </w:pPr>
            <w:r w:rsidRPr="002E5461">
              <w:t xml:space="preserve">Heat transfers (conduction; convection; radiation); regions of the electromagnetic spectrum; radiation from the sun; Wien’s Law. </w:t>
            </w:r>
          </w:p>
        </w:tc>
        <w:tc>
          <w:tcPr>
            <w:tcW w:w="2551" w:type="dxa"/>
            <w:vAlign w:val="center"/>
          </w:tcPr>
          <w:p w:rsidR="00095202" w:rsidRPr="002E5461" w:rsidRDefault="00095202" w:rsidP="0079767E">
            <w:pPr>
              <w:pStyle w:val="VCAAtablecondensed"/>
            </w:pPr>
            <w:r w:rsidRPr="002E5461">
              <w:t>Design-build-test solar hot water system</w:t>
            </w:r>
          </w:p>
        </w:tc>
      </w:tr>
      <w:tr w:rsidR="00095202" w:rsidRPr="00DC142A" w:rsidTr="0079767E">
        <w:tc>
          <w:tcPr>
            <w:tcW w:w="760" w:type="dxa"/>
            <w:vAlign w:val="center"/>
          </w:tcPr>
          <w:p w:rsidR="00095202" w:rsidRPr="002E5461" w:rsidRDefault="00095202" w:rsidP="0079767E">
            <w:pPr>
              <w:pStyle w:val="VCAAtablecondensed"/>
              <w:jc w:val="center"/>
            </w:pPr>
            <w:r w:rsidRPr="002E5461">
              <w:t>4</w:t>
            </w:r>
          </w:p>
        </w:tc>
        <w:tc>
          <w:tcPr>
            <w:tcW w:w="1934" w:type="dxa"/>
            <w:vMerge/>
            <w:vAlign w:val="center"/>
          </w:tcPr>
          <w:p w:rsidR="00095202" w:rsidRPr="002E5461" w:rsidRDefault="00095202" w:rsidP="0079767E">
            <w:pPr>
              <w:pStyle w:val="VCAAtablecondensed"/>
              <w:jc w:val="center"/>
              <w:rPr>
                <w:lang w:val="en-AU"/>
              </w:rPr>
            </w:pPr>
          </w:p>
        </w:tc>
        <w:tc>
          <w:tcPr>
            <w:tcW w:w="9639" w:type="dxa"/>
            <w:vAlign w:val="center"/>
          </w:tcPr>
          <w:p w:rsidR="00095202" w:rsidRPr="002E5461" w:rsidRDefault="00095202" w:rsidP="0079767E">
            <w:pPr>
              <w:pStyle w:val="VCAAtablecondensed"/>
            </w:pPr>
            <w:r w:rsidRPr="002E5461">
              <w:t xml:space="preserve">Stefan-Boltzmann law; modelling tectonic plates; modelling weather; greenhouse effect; greenhouse gases; human activity and the enhanced greenhouse effect. </w:t>
            </w:r>
          </w:p>
        </w:tc>
        <w:tc>
          <w:tcPr>
            <w:tcW w:w="2551" w:type="dxa"/>
            <w:vAlign w:val="center"/>
          </w:tcPr>
          <w:p w:rsidR="00095202" w:rsidRPr="002E5461" w:rsidRDefault="00095202" w:rsidP="0079767E">
            <w:pPr>
              <w:pStyle w:val="VCAAtablecondensed"/>
            </w:pPr>
            <w:r w:rsidRPr="002E5461">
              <w:t>Greenhouse effect model</w:t>
            </w:r>
          </w:p>
        </w:tc>
      </w:tr>
      <w:tr w:rsidR="00095202" w:rsidRPr="00DC142A" w:rsidTr="0079767E">
        <w:tc>
          <w:tcPr>
            <w:tcW w:w="760" w:type="dxa"/>
            <w:vAlign w:val="center"/>
          </w:tcPr>
          <w:p w:rsidR="00095202" w:rsidRPr="002E5461" w:rsidRDefault="00095202" w:rsidP="0079767E">
            <w:pPr>
              <w:pStyle w:val="VCAAtablecondensed"/>
              <w:jc w:val="center"/>
            </w:pPr>
            <w:r w:rsidRPr="002E5461">
              <w:t>5</w:t>
            </w:r>
          </w:p>
        </w:tc>
        <w:tc>
          <w:tcPr>
            <w:tcW w:w="1934" w:type="dxa"/>
            <w:vMerge/>
            <w:vAlign w:val="center"/>
          </w:tcPr>
          <w:p w:rsidR="00095202" w:rsidRPr="002E5461" w:rsidRDefault="00095202" w:rsidP="0079767E">
            <w:pPr>
              <w:pStyle w:val="VCAAtablecondensed"/>
              <w:jc w:val="center"/>
              <w:rPr>
                <w:lang w:val="en-AU"/>
              </w:rPr>
            </w:pPr>
          </w:p>
        </w:tc>
        <w:tc>
          <w:tcPr>
            <w:tcW w:w="9639" w:type="dxa"/>
            <w:vAlign w:val="center"/>
          </w:tcPr>
          <w:p w:rsidR="00095202" w:rsidRPr="002E5461" w:rsidRDefault="00095202" w:rsidP="0079767E">
            <w:pPr>
              <w:pStyle w:val="VCAAtablecondensed"/>
            </w:pPr>
            <w:r w:rsidRPr="002E5461">
              <w:t>Thermodynamics Investigation (student choice of topics, including: energy use for heating vs cooling; heating and cooling systems; passive house design; thermal imaging; energy ratings; cooking alternatives; automotive fuel sources)</w:t>
            </w:r>
            <w:r>
              <w:t>.</w:t>
            </w:r>
          </w:p>
        </w:tc>
        <w:tc>
          <w:tcPr>
            <w:tcW w:w="2551" w:type="dxa"/>
            <w:vAlign w:val="center"/>
          </w:tcPr>
          <w:p w:rsidR="00095202" w:rsidRPr="002E5461" w:rsidRDefault="00095202" w:rsidP="0079767E">
            <w:pPr>
              <w:pStyle w:val="VCAAtablecondensed"/>
            </w:pPr>
            <w:r w:rsidRPr="002E5461">
              <w:t>Dependent on student chosen topic and focus area</w:t>
            </w:r>
          </w:p>
        </w:tc>
      </w:tr>
      <w:tr w:rsidR="00095202" w:rsidRPr="00DC142A" w:rsidTr="0079767E">
        <w:tc>
          <w:tcPr>
            <w:tcW w:w="760" w:type="dxa"/>
            <w:vAlign w:val="center"/>
          </w:tcPr>
          <w:p w:rsidR="00095202" w:rsidRPr="002E5461" w:rsidRDefault="00095202" w:rsidP="0079767E">
            <w:pPr>
              <w:pStyle w:val="VCAAtablecondensed"/>
              <w:jc w:val="center"/>
            </w:pPr>
            <w:r w:rsidRPr="002E5461">
              <w:t>6</w:t>
            </w:r>
          </w:p>
        </w:tc>
        <w:tc>
          <w:tcPr>
            <w:tcW w:w="1934" w:type="dxa"/>
            <w:vMerge w:val="restart"/>
            <w:vAlign w:val="center"/>
          </w:tcPr>
          <w:p w:rsidR="00095202" w:rsidRPr="00F81CE3" w:rsidRDefault="00095202" w:rsidP="0079767E">
            <w:pPr>
              <w:pStyle w:val="VCAAtablecondensed"/>
              <w:jc w:val="center"/>
              <w:rPr>
                <w:b/>
                <w:lang w:val="en-AU"/>
              </w:rPr>
            </w:pPr>
            <w:r w:rsidRPr="00F81CE3">
              <w:rPr>
                <w:b/>
                <w:lang w:val="en-AU"/>
              </w:rPr>
              <w:t xml:space="preserve">How do </w:t>
            </w:r>
            <w:r w:rsidRPr="00A02F0B">
              <w:rPr>
                <w:b/>
                <w:lang w:val="en-AU"/>
              </w:rPr>
              <w:t xml:space="preserve">electric </w:t>
            </w:r>
            <w:r w:rsidRPr="00A02F0B">
              <w:rPr>
                <w:b/>
                <w:lang w:val="en-AU"/>
              </w:rPr>
              <w:br/>
              <w:t>circuits</w:t>
            </w:r>
            <w:r w:rsidRPr="00F81CE3">
              <w:rPr>
                <w:b/>
                <w:lang w:val="en-AU"/>
              </w:rPr>
              <w:t xml:space="preserve"> work?</w:t>
            </w:r>
          </w:p>
        </w:tc>
        <w:tc>
          <w:tcPr>
            <w:tcW w:w="9639" w:type="dxa"/>
            <w:vAlign w:val="center"/>
          </w:tcPr>
          <w:p w:rsidR="00095202" w:rsidRPr="002E5461" w:rsidRDefault="00095202" w:rsidP="0079767E">
            <w:pPr>
              <w:pStyle w:val="VCAAtablecondensed"/>
            </w:pPr>
            <w:r w:rsidRPr="002E5461">
              <w:t xml:space="preserve">Charge and current; potential difference and </w:t>
            </w:r>
            <w:proofErr w:type="spellStart"/>
            <w:r w:rsidRPr="002E5461">
              <w:t>emf</w:t>
            </w:r>
            <w:proofErr w:type="spellEnd"/>
            <w:r w:rsidRPr="002E5461">
              <w:t xml:space="preserve">; circuit analogies; making measurements (ammeters, voltmeters, </w:t>
            </w:r>
            <w:proofErr w:type="spellStart"/>
            <w:r w:rsidRPr="002E5461">
              <w:t>multimeters</w:t>
            </w:r>
            <w:proofErr w:type="spellEnd"/>
            <w:r w:rsidRPr="002E5461">
              <w:t>); conductors and insulators.</w:t>
            </w:r>
          </w:p>
        </w:tc>
        <w:tc>
          <w:tcPr>
            <w:tcW w:w="2551" w:type="dxa"/>
            <w:vAlign w:val="center"/>
          </w:tcPr>
          <w:p w:rsidR="00095202" w:rsidRPr="002E5461" w:rsidRDefault="00095202" w:rsidP="0079767E">
            <w:pPr>
              <w:pStyle w:val="VCAAtablecondensed"/>
            </w:pPr>
            <w:r w:rsidRPr="002E5461">
              <w:t>Basic circuits; conductors and insulators</w:t>
            </w:r>
          </w:p>
        </w:tc>
      </w:tr>
      <w:tr w:rsidR="00095202" w:rsidRPr="00DC142A" w:rsidTr="0079767E">
        <w:tc>
          <w:tcPr>
            <w:tcW w:w="760" w:type="dxa"/>
            <w:vAlign w:val="center"/>
          </w:tcPr>
          <w:p w:rsidR="00095202" w:rsidRPr="002E5461" w:rsidRDefault="00095202" w:rsidP="0079767E">
            <w:pPr>
              <w:pStyle w:val="VCAAtablecondensed"/>
              <w:jc w:val="center"/>
            </w:pPr>
            <w:r w:rsidRPr="002E5461">
              <w:t>7</w:t>
            </w:r>
          </w:p>
        </w:tc>
        <w:tc>
          <w:tcPr>
            <w:tcW w:w="1934" w:type="dxa"/>
            <w:vMerge/>
            <w:vAlign w:val="center"/>
          </w:tcPr>
          <w:p w:rsidR="00095202" w:rsidRPr="00DC142A" w:rsidRDefault="00095202" w:rsidP="0079767E">
            <w:pPr>
              <w:pStyle w:val="VCAAtablecondensed"/>
              <w:jc w:val="center"/>
              <w:rPr>
                <w:color w:val="0072AA" w:themeColor="accent1" w:themeShade="BF"/>
                <w:lang w:val="en-AU"/>
              </w:rPr>
            </w:pPr>
          </w:p>
        </w:tc>
        <w:tc>
          <w:tcPr>
            <w:tcW w:w="9639" w:type="dxa"/>
            <w:vAlign w:val="center"/>
          </w:tcPr>
          <w:p w:rsidR="00095202" w:rsidRPr="002E5461" w:rsidRDefault="00095202" w:rsidP="0079767E">
            <w:pPr>
              <w:pStyle w:val="VCAAtablecondensed"/>
            </w:pPr>
            <w:r w:rsidRPr="002E5461">
              <w:t xml:space="preserve">Resistance; I–V graphs; Ohm’s Law; circuit components (light bulb, resistor, diode, LED, thermistor, LDR, potentiometer); </w:t>
            </w:r>
            <w:proofErr w:type="spellStart"/>
            <w:r w:rsidRPr="002E5461">
              <w:t>ohmic</w:t>
            </w:r>
            <w:proofErr w:type="spellEnd"/>
            <w:r w:rsidRPr="002E5461">
              <w:t xml:space="preserve"> and non-</w:t>
            </w:r>
            <w:proofErr w:type="spellStart"/>
            <w:r w:rsidRPr="002E5461">
              <w:t>ohmic</w:t>
            </w:r>
            <w:proofErr w:type="spellEnd"/>
            <w:r w:rsidRPr="002E5461">
              <w:t xml:space="preserve"> devices; energy and power.</w:t>
            </w:r>
          </w:p>
        </w:tc>
        <w:tc>
          <w:tcPr>
            <w:tcW w:w="2551" w:type="dxa"/>
            <w:vAlign w:val="center"/>
          </w:tcPr>
          <w:p w:rsidR="00095202" w:rsidRPr="002E5461" w:rsidRDefault="00095202" w:rsidP="0079767E">
            <w:pPr>
              <w:pStyle w:val="VCAAtablecondensed"/>
            </w:pPr>
            <w:r w:rsidRPr="002E5461">
              <w:t xml:space="preserve">Resistance of pencil lines; </w:t>
            </w:r>
            <w:r w:rsidRPr="002E5461">
              <w:br/>
              <w:t>I–V characteristics</w:t>
            </w:r>
          </w:p>
        </w:tc>
      </w:tr>
      <w:tr w:rsidR="00095202" w:rsidRPr="00DC142A" w:rsidTr="0079767E">
        <w:tc>
          <w:tcPr>
            <w:tcW w:w="760" w:type="dxa"/>
            <w:vAlign w:val="center"/>
          </w:tcPr>
          <w:p w:rsidR="00095202" w:rsidRPr="002E5461" w:rsidRDefault="00095202" w:rsidP="0079767E">
            <w:pPr>
              <w:pStyle w:val="VCAAtablecondensed"/>
              <w:jc w:val="center"/>
            </w:pPr>
            <w:r w:rsidRPr="002E5461">
              <w:t>8</w:t>
            </w:r>
          </w:p>
        </w:tc>
        <w:tc>
          <w:tcPr>
            <w:tcW w:w="1934" w:type="dxa"/>
            <w:vMerge/>
            <w:vAlign w:val="center"/>
          </w:tcPr>
          <w:p w:rsidR="00095202" w:rsidRPr="00DC142A" w:rsidRDefault="00095202" w:rsidP="0079767E">
            <w:pPr>
              <w:pStyle w:val="VCAAtablecondensed"/>
              <w:jc w:val="center"/>
              <w:rPr>
                <w:color w:val="0072AA" w:themeColor="accent1" w:themeShade="BF"/>
                <w:lang w:val="en-AU"/>
              </w:rPr>
            </w:pPr>
          </w:p>
        </w:tc>
        <w:tc>
          <w:tcPr>
            <w:tcW w:w="9639" w:type="dxa"/>
            <w:vAlign w:val="center"/>
          </w:tcPr>
          <w:p w:rsidR="00095202" w:rsidRPr="002E5461" w:rsidRDefault="00095202" w:rsidP="0079767E">
            <w:pPr>
              <w:pStyle w:val="VCAAtablecondensed"/>
            </w:pPr>
            <w:r w:rsidRPr="002E5461">
              <w:t>Series and parallel circuit characteristics (voltage, current, energy, power); effective resistance in series and parallel; calculating resistance.</w:t>
            </w:r>
          </w:p>
        </w:tc>
        <w:tc>
          <w:tcPr>
            <w:tcW w:w="2551" w:type="dxa"/>
            <w:vAlign w:val="center"/>
          </w:tcPr>
          <w:p w:rsidR="00095202" w:rsidRPr="002E5461" w:rsidRDefault="00095202" w:rsidP="0079767E">
            <w:pPr>
              <w:pStyle w:val="VCAAtablecondensed"/>
            </w:pPr>
            <w:r w:rsidRPr="002E5461">
              <w:t>Series and parallel circuits</w:t>
            </w:r>
          </w:p>
        </w:tc>
      </w:tr>
      <w:tr w:rsidR="00095202" w:rsidRPr="00DC142A" w:rsidTr="0079767E">
        <w:tc>
          <w:tcPr>
            <w:tcW w:w="760" w:type="dxa"/>
            <w:vAlign w:val="center"/>
          </w:tcPr>
          <w:p w:rsidR="00095202" w:rsidRPr="002E5461" w:rsidRDefault="00095202" w:rsidP="0079767E">
            <w:pPr>
              <w:pStyle w:val="VCAAtablecondensed"/>
              <w:jc w:val="center"/>
            </w:pPr>
            <w:r w:rsidRPr="002E5461">
              <w:t>9</w:t>
            </w:r>
          </w:p>
        </w:tc>
        <w:tc>
          <w:tcPr>
            <w:tcW w:w="1934" w:type="dxa"/>
            <w:vMerge/>
            <w:vAlign w:val="center"/>
          </w:tcPr>
          <w:p w:rsidR="00095202" w:rsidRPr="00DC142A" w:rsidRDefault="00095202" w:rsidP="0079767E">
            <w:pPr>
              <w:pStyle w:val="VCAAtablecondensed"/>
              <w:jc w:val="center"/>
              <w:rPr>
                <w:color w:val="0072AA" w:themeColor="accent1" w:themeShade="BF"/>
                <w:lang w:val="en-AU"/>
              </w:rPr>
            </w:pPr>
          </w:p>
        </w:tc>
        <w:tc>
          <w:tcPr>
            <w:tcW w:w="9639" w:type="dxa"/>
            <w:vAlign w:val="center"/>
          </w:tcPr>
          <w:p w:rsidR="00095202" w:rsidRPr="002E5461" w:rsidRDefault="00095202" w:rsidP="0079767E">
            <w:pPr>
              <w:pStyle w:val="VCAAtablecondensed"/>
            </w:pPr>
            <w:r w:rsidRPr="002E5461">
              <w:t>Voltage dividers; applications of transducers.</w:t>
            </w:r>
          </w:p>
        </w:tc>
        <w:tc>
          <w:tcPr>
            <w:tcW w:w="2551" w:type="dxa"/>
            <w:vAlign w:val="center"/>
          </w:tcPr>
          <w:p w:rsidR="00095202" w:rsidRPr="002E5461" w:rsidRDefault="00095202" w:rsidP="0079767E">
            <w:pPr>
              <w:pStyle w:val="VCAAtablecondensed"/>
            </w:pPr>
            <w:r w:rsidRPr="002E5461">
              <w:t>Sensing light and temperature</w:t>
            </w:r>
          </w:p>
        </w:tc>
      </w:tr>
      <w:tr w:rsidR="00095202" w:rsidRPr="00DC142A" w:rsidTr="0079767E">
        <w:tc>
          <w:tcPr>
            <w:tcW w:w="760" w:type="dxa"/>
            <w:vAlign w:val="center"/>
          </w:tcPr>
          <w:p w:rsidR="00095202" w:rsidRPr="002E5461" w:rsidRDefault="00095202" w:rsidP="0079767E">
            <w:pPr>
              <w:pStyle w:val="VCAAtablecondensed"/>
              <w:jc w:val="center"/>
            </w:pPr>
            <w:r w:rsidRPr="002E5461">
              <w:t>10</w:t>
            </w:r>
          </w:p>
        </w:tc>
        <w:tc>
          <w:tcPr>
            <w:tcW w:w="1934" w:type="dxa"/>
            <w:vMerge/>
            <w:vAlign w:val="center"/>
          </w:tcPr>
          <w:p w:rsidR="00095202" w:rsidRPr="00DC142A" w:rsidRDefault="00095202" w:rsidP="0079767E">
            <w:pPr>
              <w:pStyle w:val="VCAAtablecondensed"/>
              <w:jc w:val="center"/>
              <w:rPr>
                <w:color w:val="0072AA" w:themeColor="accent1" w:themeShade="BF"/>
                <w:lang w:val="en-AU"/>
              </w:rPr>
            </w:pPr>
          </w:p>
        </w:tc>
        <w:tc>
          <w:tcPr>
            <w:tcW w:w="9639" w:type="dxa"/>
            <w:vAlign w:val="center"/>
          </w:tcPr>
          <w:p w:rsidR="00095202" w:rsidRPr="002E5461" w:rsidRDefault="00095202" w:rsidP="0079767E">
            <w:pPr>
              <w:pStyle w:val="VCAAtablecondensed"/>
            </w:pPr>
            <w:r w:rsidRPr="002E5461">
              <w:t>Household circuit components (circuit breakers, switches, loads); parallel circuits; kilowatt-hours; AC and DC.</w:t>
            </w:r>
          </w:p>
        </w:tc>
        <w:tc>
          <w:tcPr>
            <w:tcW w:w="2551" w:type="dxa"/>
            <w:vAlign w:val="center"/>
          </w:tcPr>
          <w:p w:rsidR="00095202" w:rsidRPr="002E5461" w:rsidRDefault="00095202" w:rsidP="0079767E">
            <w:pPr>
              <w:pStyle w:val="VCAAtablecondensed"/>
            </w:pPr>
            <w:r w:rsidRPr="002E5461">
              <w:t>Appliance energy use</w:t>
            </w:r>
          </w:p>
        </w:tc>
      </w:tr>
      <w:tr w:rsidR="00095202" w:rsidRPr="00DC142A" w:rsidTr="0079767E">
        <w:tc>
          <w:tcPr>
            <w:tcW w:w="760" w:type="dxa"/>
            <w:vAlign w:val="center"/>
          </w:tcPr>
          <w:p w:rsidR="00095202" w:rsidRPr="002E5461" w:rsidRDefault="00095202" w:rsidP="0079767E">
            <w:pPr>
              <w:pStyle w:val="VCAAtablecondensed"/>
              <w:jc w:val="center"/>
            </w:pPr>
            <w:r w:rsidRPr="002E5461">
              <w:t>11</w:t>
            </w:r>
          </w:p>
        </w:tc>
        <w:tc>
          <w:tcPr>
            <w:tcW w:w="1934" w:type="dxa"/>
            <w:vMerge/>
            <w:vAlign w:val="center"/>
          </w:tcPr>
          <w:p w:rsidR="00095202" w:rsidRPr="00DC142A" w:rsidRDefault="00095202" w:rsidP="0079767E">
            <w:pPr>
              <w:pStyle w:val="VCAAtablecondensed"/>
              <w:jc w:val="center"/>
              <w:rPr>
                <w:color w:val="0072AA" w:themeColor="accent1" w:themeShade="BF"/>
                <w:lang w:val="en-AU"/>
              </w:rPr>
            </w:pPr>
          </w:p>
        </w:tc>
        <w:tc>
          <w:tcPr>
            <w:tcW w:w="9639" w:type="dxa"/>
            <w:vAlign w:val="center"/>
          </w:tcPr>
          <w:p w:rsidR="00095202" w:rsidRPr="002E5461" w:rsidRDefault="00095202" w:rsidP="0079767E">
            <w:pPr>
              <w:pStyle w:val="VCAAtablecondensed"/>
            </w:pPr>
            <w:r w:rsidRPr="002E5461">
              <w:t>Safety devices (fuses, circuit breakers, RCDs); electric shock (causes, effects, treatments).</w:t>
            </w:r>
          </w:p>
        </w:tc>
        <w:tc>
          <w:tcPr>
            <w:tcW w:w="2551" w:type="dxa"/>
            <w:vAlign w:val="center"/>
          </w:tcPr>
          <w:p w:rsidR="00095202" w:rsidRPr="002E5461" w:rsidRDefault="00095202" w:rsidP="0079767E">
            <w:pPr>
              <w:pStyle w:val="VCAAtablecondensed"/>
            </w:pPr>
          </w:p>
        </w:tc>
      </w:tr>
      <w:tr w:rsidR="00095202" w:rsidRPr="002E5461" w:rsidTr="0079767E">
        <w:tc>
          <w:tcPr>
            <w:tcW w:w="760" w:type="dxa"/>
            <w:shd w:val="clear" w:color="auto" w:fill="D9D9D9" w:themeFill="background1" w:themeFillShade="D9"/>
            <w:vAlign w:val="center"/>
          </w:tcPr>
          <w:p w:rsidR="00095202" w:rsidRPr="002E5461" w:rsidRDefault="00095202" w:rsidP="0079767E">
            <w:pPr>
              <w:pStyle w:val="VCAAtablecondensedheading"/>
              <w:rPr>
                <w:b/>
                <w:lang w:val="en-AU"/>
              </w:rPr>
            </w:pPr>
            <w:r w:rsidRPr="002E5461">
              <w:rPr>
                <w:b/>
                <w:lang w:val="en-AU"/>
              </w:rPr>
              <w:lastRenderedPageBreak/>
              <w:t>Week</w:t>
            </w:r>
          </w:p>
        </w:tc>
        <w:tc>
          <w:tcPr>
            <w:tcW w:w="1934" w:type="dxa"/>
            <w:shd w:val="clear" w:color="auto" w:fill="D9D9D9" w:themeFill="background1" w:themeFillShade="D9"/>
            <w:vAlign w:val="center"/>
          </w:tcPr>
          <w:p w:rsidR="00095202" w:rsidRPr="002E5461" w:rsidRDefault="00095202" w:rsidP="0079767E">
            <w:pPr>
              <w:pStyle w:val="VCAAtablecondensedheading"/>
              <w:rPr>
                <w:b/>
                <w:lang w:val="en-AU"/>
              </w:rPr>
            </w:pPr>
            <w:r w:rsidRPr="002E5461">
              <w:rPr>
                <w:b/>
                <w:lang w:val="en-AU"/>
              </w:rPr>
              <w:t>Area</w:t>
            </w:r>
          </w:p>
        </w:tc>
        <w:tc>
          <w:tcPr>
            <w:tcW w:w="9639" w:type="dxa"/>
            <w:shd w:val="clear" w:color="auto" w:fill="D9D9D9" w:themeFill="background1" w:themeFillShade="D9"/>
            <w:vAlign w:val="center"/>
          </w:tcPr>
          <w:p w:rsidR="00095202" w:rsidRPr="002E5461" w:rsidRDefault="00095202" w:rsidP="0079767E">
            <w:pPr>
              <w:pStyle w:val="VCAAtablecondensedheading"/>
              <w:rPr>
                <w:b/>
                <w:lang w:val="en-AU"/>
              </w:rPr>
            </w:pPr>
            <w:r w:rsidRPr="002E5461">
              <w:rPr>
                <w:b/>
                <w:lang w:val="en-AU"/>
              </w:rPr>
              <w:t>Topics</w:t>
            </w:r>
          </w:p>
        </w:tc>
        <w:tc>
          <w:tcPr>
            <w:tcW w:w="2551" w:type="dxa"/>
            <w:shd w:val="clear" w:color="auto" w:fill="D9D9D9" w:themeFill="background1" w:themeFillShade="D9"/>
            <w:vAlign w:val="center"/>
          </w:tcPr>
          <w:p w:rsidR="00095202" w:rsidRPr="002E5461" w:rsidRDefault="00095202" w:rsidP="0079767E">
            <w:pPr>
              <w:pStyle w:val="VCAAtablecondensedheading"/>
              <w:rPr>
                <w:b/>
                <w:lang w:val="en-AU"/>
              </w:rPr>
            </w:pPr>
            <w:r w:rsidRPr="002E5461">
              <w:rPr>
                <w:b/>
                <w:lang w:val="en-AU"/>
              </w:rPr>
              <w:t>Practical work</w:t>
            </w:r>
          </w:p>
        </w:tc>
      </w:tr>
      <w:tr w:rsidR="00095202" w:rsidRPr="00DC142A" w:rsidTr="0079767E">
        <w:tc>
          <w:tcPr>
            <w:tcW w:w="760" w:type="dxa"/>
            <w:vAlign w:val="center"/>
          </w:tcPr>
          <w:p w:rsidR="00095202" w:rsidRPr="002E5461" w:rsidRDefault="00095202" w:rsidP="0079767E">
            <w:pPr>
              <w:pStyle w:val="VCAAtablecondensed"/>
              <w:jc w:val="center"/>
            </w:pPr>
            <w:r w:rsidRPr="002E5461">
              <w:t>12</w:t>
            </w:r>
          </w:p>
        </w:tc>
        <w:tc>
          <w:tcPr>
            <w:tcW w:w="1934" w:type="dxa"/>
            <w:vMerge w:val="restart"/>
            <w:vAlign w:val="center"/>
          </w:tcPr>
          <w:p w:rsidR="00095202" w:rsidRPr="00F81CE3" w:rsidRDefault="00095202" w:rsidP="0079767E">
            <w:pPr>
              <w:pStyle w:val="VCAAtablecondensed"/>
              <w:jc w:val="center"/>
              <w:rPr>
                <w:b/>
                <w:color w:val="0072AA" w:themeColor="accent1" w:themeShade="BF"/>
                <w:lang w:val="en-AU"/>
              </w:rPr>
            </w:pPr>
            <w:r w:rsidRPr="00F81CE3">
              <w:rPr>
                <w:b/>
                <w:lang w:val="en-AU"/>
              </w:rPr>
              <w:t xml:space="preserve">What is </w:t>
            </w:r>
            <w:r w:rsidRPr="00A02F0B">
              <w:rPr>
                <w:b/>
                <w:lang w:val="en-AU"/>
              </w:rPr>
              <w:t>matter</w:t>
            </w:r>
            <w:r w:rsidRPr="00F81CE3">
              <w:rPr>
                <w:b/>
                <w:lang w:val="en-AU"/>
              </w:rPr>
              <w:t xml:space="preserve"> and </w:t>
            </w:r>
            <w:r w:rsidRPr="00F81CE3">
              <w:rPr>
                <w:b/>
                <w:lang w:val="en-AU"/>
              </w:rPr>
              <w:br/>
              <w:t xml:space="preserve">how </w:t>
            </w:r>
            <w:proofErr w:type="gramStart"/>
            <w:r w:rsidRPr="00F81CE3">
              <w:rPr>
                <w:b/>
                <w:lang w:val="en-AU"/>
              </w:rPr>
              <w:t>is it formed</w:t>
            </w:r>
            <w:proofErr w:type="gramEnd"/>
            <w:r w:rsidRPr="00F81CE3">
              <w:rPr>
                <w:b/>
                <w:lang w:val="en-AU"/>
              </w:rPr>
              <w:t>?</w:t>
            </w:r>
          </w:p>
        </w:tc>
        <w:tc>
          <w:tcPr>
            <w:tcW w:w="9639" w:type="dxa"/>
            <w:vAlign w:val="center"/>
          </w:tcPr>
          <w:p w:rsidR="00095202" w:rsidRPr="002E5461" w:rsidRDefault="00095202" w:rsidP="0079767E">
            <w:pPr>
              <w:pStyle w:val="VCAAtablecondensed"/>
            </w:pPr>
            <w:r w:rsidRPr="002E5461">
              <w:t>Origins of the Universe; Big Bang theory; space and time; using scientific notation; the changing Universe (expansion, cooling); changes of matter.</w:t>
            </w:r>
          </w:p>
        </w:tc>
        <w:tc>
          <w:tcPr>
            <w:tcW w:w="2551" w:type="dxa"/>
            <w:vAlign w:val="center"/>
          </w:tcPr>
          <w:p w:rsidR="00095202" w:rsidRPr="002E5461" w:rsidRDefault="00095202" w:rsidP="0079767E">
            <w:pPr>
              <w:pStyle w:val="VCAAtablecondensed"/>
            </w:pPr>
            <w:r w:rsidRPr="002E5461">
              <w:t>Modelling expansion</w:t>
            </w:r>
          </w:p>
        </w:tc>
      </w:tr>
      <w:tr w:rsidR="00095202" w:rsidRPr="00DC142A" w:rsidTr="0079767E">
        <w:tc>
          <w:tcPr>
            <w:tcW w:w="760" w:type="dxa"/>
            <w:vAlign w:val="center"/>
          </w:tcPr>
          <w:p w:rsidR="00095202" w:rsidRPr="002E5461" w:rsidRDefault="00095202" w:rsidP="0079767E">
            <w:pPr>
              <w:pStyle w:val="VCAAtablecondensed"/>
              <w:jc w:val="center"/>
            </w:pPr>
            <w:r w:rsidRPr="002E5461">
              <w:t>13</w:t>
            </w:r>
          </w:p>
        </w:tc>
        <w:tc>
          <w:tcPr>
            <w:tcW w:w="1934" w:type="dxa"/>
            <w:vMerge/>
            <w:vAlign w:val="center"/>
          </w:tcPr>
          <w:p w:rsidR="00095202" w:rsidRPr="00DC142A" w:rsidRDefault="00095202" w:rsidP="0079767E">
            <w:pPr>
              <w:pStyle w:val="VCAAtablecondensed"/>
              <w:jc w:val="center"/>
              <w:rPr>
                <w:color w:val="0072AA" w:themeColor="accent1" w:themeShade="BF"/>
                <w:lang w:val="en-AU"/>
              </w:rPr>
            </w:pPr>
          </w:p>
        </w:tc>
        <w:tc>
          <w:tcPr>
            <w:tcW w:w="9639" w:type="dxa"/>
            <w:vAlign w:val="center"/>
          </w:tcPr>
          <w:p w:rsidR="00095202" w:rsidRPr="002E5461" w:rsidRDefault="00095202" w:rsidP="0079767E">
            <w:pPr>
              <w:pStyle w:val="VCAAtablecondensed"/>
            </w:pPr>
            <w:r w:rsidRPr="002E5461">
              <w:t>Nuclear stability and forces in the nucleus (strong, weak); isotopes and radioisotopes; types of radiation</w:t>
            </w:r>
            <w:r>
              <w:t>.</w:t>
            </w:r>
          </w:p>
        </w:tc>
        <w:tc>
          <w:tcPr>
            <w:tcW w:w="2551" w:type="dxa"/>
            <w:vAlign w:val="center"/>
          </w:tcPr>
          <w:p w:rsidR="00095202" w:rsidRPr="002E5461" w:rsidRDefault="00095202" w:rsidP="0079767E">
            <w:pPr>
              <w:pStyle w:val="VCAAtablecondensed"/>
            </w:pPr>
            <w:r w:rsidRPr="002E5461">
              <w:t>Detecting radiation</w:t>
            </w:r>
          </w:p>
        </w:tc>
      </w:tr>
      <w:tr w:rsidR="00095202" w:rsidRPr="00DC142A" w:rsidTr="0079767E">
        <w:tc>
          <w:tcPr>
            <w:tcW w:w="760" w:type="dxa"/>
            <w:vAlign w:val="center"/>
          </w:tcPr>
          <w:p w:rsidR="00095202" w:rsidRPr="002E5461" w:rsidRDefault="00095202" w:rsidP="0079767E">
            <w:pPr>
              <w:pStyle w:val="VCAAtablecondensed"/>
              <w:jc w:val="center"/>
            </w:pPr>
            <w:r w:rsidRPr="002E5461">
              <w:t>14</w:t>
            </w:r>
          </w:p>
        </w:tc>
        <w:tc>
          <w:tcPr>
            <w:tcW w:w="1934" w:type="dxa"/>
            <w:vMerge/>
            <w:vAlign w:val="center"/>
          </w:tcPr>
          <w:p w:rsidR="00095202" w:rsidRPr="00DC142A" w:rsidRDefault="00095202" w:rsidP="0079767E">
            <w:pPr>
              <w:pStyle w:val="VCAAtablecondensed"/>
              <w:jc w:val="center"/>
              <w:rPr>
                <w:color w:val="0072AA" w:themeColor="accent1" w:themeShade="BF"/>
                <w:lang w:val="en-AU"/>
              </w:rPr>
            </w:pPr>
          </w:p>
        </w:tc>
        <w:tc>
          <w:tcPr>
            <w:tcW w:w="9639" w:type="dxa"/>
            <w:vAlign w:val="center"/>
          </w:tcPr>
          <w:p w:rsidR="00095202" w:rsidRPr="002E5461" w:rsidRDefault="00095202" w:rsidP="0079767E">
            <w:pPr>
              <w:pStyle w:val="VCAAtablecondensed"/>
            </w:pPr>
            <w:r w:rsidRPr="002E5461">
              <w:t>Radioactive decay and half-life; decay equations and decay series diagrams; stability of isotopes</w:t>
            </w:r>
            <w:r>
              <w:t>.</w:t>
            </w:r>
          </w:p>
        </w:tc>
        <w:tc>
          <w:tcPr>
            <w:tcW w:w="2551" w:type="dxa"/>
            <w:vAlign w:val="center"/>
          </w:tcPr>
          <w:p w:rsidR="00095202" w:rsidRPr="002E5461" w:rsidRDefault="00095202" w:rsidP="0079767E">
            <w:pPr>
              <w:pStyle w:val="VCAAtablecondensed"/>
            </w:pPr>
            <w:r w:rsidRPr="002E5461">
              <w:t>Measuring half life</w:t>
            </w:r>
          </w:p>
        </w:tc>
      </w:tr>
      <w:tr w:rsidR="00095202" w:rsidRPr="00DC142A" w:rsidTr="0079767E">
        <w:tc>
          <w:tcPr>
            <w:tcW w:w="760" w:type="dxa"/>
            <w:vAlign w:val="center"/>
          </w:tcPr>
          <w:p w:rsidR="00095202" w:rsidRPr="002E5461" w:rsidRDefault="00095202" w:rsidP="0079767E">
            <w:pPr>
              <w:pStyle w:val="VCAAtablecondensed"/>
              <w:jc w:val="center"/>
            </w:pPr>
            <w:r w:rsidRPr="002E5461">
              <w:t>15</w:t>
            </w:r>
          </w:p>
        </w:tc>
        <w:tc>
          <w:tcPr>
            <w:tcW w:w="1934" w:type="dxa"/>
            <w:vMerge/>
            <w:vAlign w:val="center"/>
          </w:tcPr>
          <w:p w:rsidR="00095202" w:rsidRPr="00DC142A" w:rsidRDefault="00095202" w:rsidP="0079767E">
            <w:pPr>
              <w:pStyle w:val="VCAAtablecondensed"/>
              <w:jc w:val="center"/>
              <w:rPr>
                <w:color w:val="0072AA" w:themeColor="accent1" w:themeShade="BF"/>
                <w:lang w:val="en-AU"/>
              </w:rPr>
            </w:pPr>
          </w:p>
        </w:tc>
        <w:tc>
          <w:tcPr>
            <w:tcW w:w="9639" w:type="dxa"/>
            <w:vAlign w:val="center"/>
          </w:tcPr>
          <w:p w:rsidR="00095202" w:rsidRPr="002E5461" w:rsidRDefault="00095202" w:rsidP="0079767E">
            <w:pPr>
              <w:pStyle w:val="VCAAtablecondensed"/>
            </w:pPr>
            <w:r w:rsidRPr="002E5461">
              <w:t xml:space="preserve">Prediction and discovery (neutron, neutrino, positron, Higgs boson); quarks; leptons, hadrons, mesons and </w:t>
            </w:r>
            <w:proofErr w:type="spellStart"/>
            <w:r w:rsidRPr="002E5461">
              <w:t>bayrons</w:t>
            </w:r>
            <w:proofErr w:type="spellEnd"/>
            <w:r w:rsidRPr="002E5461">
              <w:t>; anti-matter.</w:t>
            </w:r>
          </w:p>
        </w:tc>
        <w:tc>
          <w:tcPr>
            <w:tcW w:w="2551" w:type="dxa"/>
            <w:vAlign w:val="center"/>
          </w:tcPr>
          <w:p w:rsidR="00095202" w:rsidRPr="002E5461" w:rsidRDefault="00095202" w:rsidP="0079767E">
            <w:pPr>
              <w:pStyle w:val="VCAAtablecondensed"/>
            </w:pPr>
          </w:p>
        </w:tc>
      </w:tr>
      <w:tr w:rsidR="00095202" w:rsidRPr="00DC142A" w:rsidTr="0079767E">
        <w:tc>
          <w:tcPr>
            <w:tcW w:w="760" w:type="dxa"/>
            <w:vAlign w:val="center"/>
          </w:tcPr>
          <w:p w:rsidR="00095202" w:rsidRPr="002E5461" w:rsidRDefault="00095202" w:rsidP="0079767E">
            <w:pPr>
              <w:pStyle w:val="VCAAtablecondensed"/>
              <w:jc w:val="center"/>
            </w:pPr>
            <w:r w:rsidRPr="002E5461">
              <w:t>16</w:t>
            </w:r>
          </w:p>
        </w:tc>
        <w:tc>
          <w:tcPr>
            <w:tcW w:w="1934" w:type="dxa"/>
            <w:vMerge/>
            <w:vAlign w:val="center"/>
          </w:tcPr>
          <w:p w:rsidR="00095202" w:rsidRPr="00DC142A" w:rsidRDefault="00095202" w:rsidP="0079767E">
            <w:pPr>
              <w:pStyle w:val="VCAAtablecondensed"/>
              <w:jc w:val="center"/>
              <w:rPr>
                <w:color w:val="0072AA" w:themeColor="accent1" w:themeShade="BF"/>
                <w:lang w:val="en-AU"/>
              </w:rPr>
            </w:pPr>
          </w:p>
        </w:tc>
        <w:tc>
          <w:tcPr>
            <w:tcW w:w="9639" w:type="dxa"/>
            <w:vAlign w:val="center"/>
          </w:tcPr>
          <w:p w:rsidR="00095202" w:rsidRPr="002E5461" w:rsidRDefault="00095202" w:rsidP="0079767E">
            <w:pPr>
              <w:pStyle w:val="VCAAtablecondensed"/>
            </w:pPr>
            <w:r w:rsidRPr="002E5461">
              <w:t>Nuclear energy from conversion of mass; fusion and fission; synchrotron radiation; light from electrons transitions.</w:t>
            </w:r>
          </w:p>
        </w:tc>
        <w:tc>
          <w:tcPr>
            <w:tcW w:w="2551" w:type="dxa"/>
            <w:vAlign w:val="center"/>
          </w:tcPr>
          <w:p w:rsidR="00095202" w:rsidRPr="002E5461" w:rsidRDefault="00095202" w:rsidP="0079767E">
            <w:pPr>
              <w:pStyle w:val="VCAAtablecondensed"/>
            </w:pPr>
          </w:p>
        </w:tc>
      </w:tr>
      <w:tr w:rsidR="00095202" w:rsidRPr="002E5461" w:rsidTr="0079767E">
        <w:tc>
          <w:tcPr>
            <w:tcW w:w="760" w:type="dxa"/>
            <w:vAlign w:val="center"/>
          </w:tcPr>
          <w:p w:rsidR="00095202" w:rsidRPr="002E5461" w:rsidRDefault="00095202" w:rsidP="0079767E">
            <w:pPr>
              <w:pStyle w:val="VCAAtablecondensed"/>
              <w:jc w:val="center"/>
            </w:pPr>
            <w:r w:rsidRPr="002E5461">
              <w:t>17–18</w:t>
            </w:r>
          </w:p>
        </w:tc>
        <w:tc>
          <w:tcPr>
            <w:tcW w:w="1934" w:type="dxa"/>
            <w:vAlign w:val="center"/>
          </w:tcPr>
          <w:p w:rsidR="00095202" w:rsidRPr="002E5461" w:rsidRDefault="00095202" w:rsidP="0079767E">
            <w:pPr>
              <w:pStyle w:val="VCAAtablecondensed"/>
              <w:jc w:val="center"/>
              <w:rPr>
                <w:lang w:val="en-AU"/>
              </w:rPr>
            </w:pPr>
            <w:r w:rsidRPr="002E5461">
              <w:rPr>
                <w:lang w:val="en-AU"/>
              </w:rPr>
              <w:t>All</w:t>
            </w:r>
          </w:p>
        </w:tc>
        <w:tc>
          <w:tcPr>
            <w:tcW w:w="9639" w:type="dxa"/>
            <w:vAlign w:val="center"/>
          </w:tcPr>
          <w:p w:rsidR="00095202" w:rsidRPr="002E5461" w:rsidRDefault="00095202" w:rsidP="0079767E">
            <w:pPr>
              <w:pStyle w:val="VCAAtablecondensed"/>
              <w:jc w:val="center"/>
              <w:rPr>
                <w:lang w:val="en-AU"/>
              </w:rPr>
            </w:pPr>
            <w:r w:rsidRPr="002E5461">
              <w:rPr>
                <w:b/>
                <w:lang w:val="en-AU"/>
              </w:rPr>
              <w:t>Unit revision</w:t>
            </w:r>
            <w:r w:rsidRPr="002E5461">
              <w:rPr>
                <w:lang w:val="en-AU"/>
              </w:rPr>
              <w:t>.</w:t>
            </w:r>
          </w:p>
        </w:tc>
        <w:tc>
          <w:tcPr>
            <w:tcW w:w="2551" w:type="dxa"/>
            <w:vAlign w:val="center"/>
          </w:tcPr>
          <w:p w:rsidR="00095202" w:rsidRPr="002E5461" w:rsidRDefault="00095202" w:rsidP="0079767E">
            <w:pPr>
              <w:pStyle w:val="VCAAtablecondensed"/>
              <w:rPr>
                <w:lang w:val="en-AU"/>
              </w:rPr>
            </w:pPr>
          </w:p>
        </w:tc>
      </w:tr>
    </w:tbl>
    <w:p w:rsidR="00A8271F" w:rsidRPr="00AC3EE8" w:rsidRDefault="00A8271F" w:rsidP="00A8271F">
      <w:pPr>
        <w:pStyle w:val="VCAAbody"/>
        <w:rPr>
          <w:rFonts w:eastAsia="SimSun"/>
          <w:color w:val="auto"/>
          <w:lang w:val="en-AU" w:eastAsia="zh-SG"/>
        </w:rPr>
      </w:pPr>
    </w:p>
    <w:sectPr w:rsidR="00A8271F" w:rsidRPr="00AC3EE8" w:rsidSect="00D3388E">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0C" w:rsidRDefault="00042E0C" w:rsidP="00304EA1">
      <w:pPr>
        <w:spacing w:after="0" w:line="240" w:lineRule="auto"/>
      </w:pPr>
      <w:r>
        <w:separator/>
      </w:r>
    </w:p>
  </w:endnote>
  <w:endnote w:type="continuationSeparator" w:id="0">
    <w:p w:rsidR="00042E0C" w:rsidRDefault="00042E0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4D" w:rsidRDefault="00DA6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243F0D" w:rsidRDefault="00042E0C" w:rsidP="00D3388E">
    <w:pPr>
      <w:pStyle w:val="VCAAcaptionsandfootnotes"/>
    </w:pPr>
    <w:r>
      <w:rPr>
        <w:color w:val="999999" w:themeColor="accent2"/>
      </w:rPr>
      <w:t xml:space="preserve">© </w:t>
    </w:r>
    <w:hyperlink r:id="rId1" w:history="1">
      <w:r>
        <w:rPr>
          <w:rStyle w:val="Hyperlink"/>
        </w:rPr>
        <w:t>VCAA</w:t>
      </w:r>
    </w:hyperlink>
    <w:r w:rsidRPr="00970580">
      <w:t xml:space="preserve"> </w:t>
    </w:r>
    <w:r w:rsidR="006202F9">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A654D">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Default="00042E0C"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2017</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0C" w:rsidRDefault="00042E0C" w:rsidP="00304EA1">
      <w:pPr>
        <w:spacing w:after="0" w:line="240" w:lineRule="auto"/>
      </w:pPr>
      <w:r>
        <w:separator/>
      </w:r>
    </w:p>
  </w:footnote>
  <w:footnote w:type="continuationSeparator" w:id="0">
    <w:p w:rsidR="00042E0C" w:rsidRDefault="00042E0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4D" w:rsidRDefault="00DA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D86DE4" w:rsidRDefault="00042E0C" w:rsidP="007B4E0D">
    <w:pPr>
      <w:pStyle w:val="VCAAcaptionsandfootnotes"/>
      <w:tabs>
        <w:tab w:val="right" w:pos="14317"/>
      </w:tabs>
      <w:rPr>
        <w:color w:val="999999" w:themeColor="accent2"/>
      </w:rPr>
    </w:pPr>
    <w:r>
      <w:rPr>
        <w:color w:val="999999" w:themeColor="accent2"/>
        <w:lang w:val="en-AU"/>
      </w:rPr>
      <w:t xml:space="preserve">VCE </w:t>
    </w:r>
    <w:r w:rsidR="00095202">
      <w:rPr>
        <w:color w:val="999999" w:themeColor="accent2"/>
        <w:lang w:val="en-AU"/>
      </w:rPr>
      <w:t>Physics</w:t>
    </w:r>
    <w:r>
      <w:rPr>
        <w:color w:val="999999" w:themeColor="accent2"/>
        <w:lang w:val="en-AU"/>
      </w:rPr>
      <w:t xml:space="preserve"> Units 1 and 2: 2016–202</w:t>
    </w:r>
    <w:r w:rsidR="00DA654D">
      <w:rPr>
        <w:color w:val="999999" w:themeColor="accent2"/>
        <w:lang w:val="en-AU"/>
      </w:rPr>
      <w:t>2</w:t>
    </w:r>
    <w:r>
      <w:rPr>
        <w:color w:val="999999" w:themeColor="accent2"/>
        <w:lang w:val="en-AU"/>
      </w:rPr>
      <w:t xml:space="preserve">; Units 3 and 4: </w:t>
    </w:r>
    <w:r>
      <w:rPr>
        <w:color w:val="999999" w:themeColor="accent2"/>
        <w:lang w:val="en-AU"/>
      </w:rPr>
      <w:t>2017–202</w:t>
    </w:r>
    <w:r w:rsidR="00DA654D">
      <w:rPr>
        <w:color w:val="999999" w:themeColor="accent2"/>
        <w:lang w:val="en-AU"/>
      </w:rPr>
      <w:t>2</w:t>
    </w:r>
    <w:bookmarkStart w:id="3" w:name="_GoBack"/>
    <w:bookmarkEnd w:id="3"/>
    <w:r>
      <w:rPr>
        <w:color w:val="999999" w:themeColor="accent2"/>
        <w:lang w:val="en-AU"/>
      </w:rPr>
      <w:tab/>
      <w:t>SAMPLE TEACHING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9370BC" w:rsidRDefault="00042E0C" w:rsidP="00D3388E">
    <w:pPr>
      <w:spacing w:after="0"/>
    </w:pPr>
    <w:r w:rsidRPr="007B4E0D">
      <w:rPr>
        <w:color w:val="999999" w:themeColor="accent2"/>
        <w:sz w:val="18"/>
        <w:szCs w:val="18"/>
        <w:lang w:val="en-AU"/>
      </w:rPr>
      <w:t xml:space="preserve">VCE </w:t>
    </w:r>
    <w:r w:rsidR="00095202">
      <w:rPr>
        <w:color w:val="999999" w:themeColor="accent2"/>
        <w:sz w:val="18"/>
        <w:szCs w:val="18"/>
        <w:lang w:val="en-AU"/>
      </w:rPr>
      <w:t>Physics</w:t>
    </w:r>
    <w:r w:rsidRPr="007B4E0D">
      <w:rPr>
        <w:color w:val="999999" w:themeColor="accent2"/>
        <w:sz w:val="18"/>
        <w:szCs w:val="18"/>
        <w:lang w:val="en-AU"/>
      </w:rPr>
      <w:t xml:space="preserve"> Units 1 and 2: 2016–202</w:t>
    </w:r>
    <w:r w:rsidR="00DA654D">
      <w:rPr>
        <w:color w:val="999999" w:themeColor="accent2"/>
        <w:sz w:val="18"/>
        <w:szCs w:val="18"/>
        <w:lang w:val="en-AU"/>
      </w:rPr>
      <w:t>2</w:t>
    </w:r>
    <w:r w:rsidRPr="007B4E0D">
      <w:rPr>
        <w:color w:val="999999" w:themeColor="accent2"/>
        <w:sz w:val="18"/>
        <w:szCs w:val="18"/>
        <w:lang w:val="en-AU"/>
      </w:rPr>
      <w:t>; Units 3 and 4: 2017–202</w:t>
    </w:r>
    <w:r w:rsidR="00DA654D">
      <w:rPr>
        <w:color w:val="999999" w:themeColor="accent2"/>
        <w:sz w:val="18"/>
        <w:szCs w:val="18"/>
        <w:lang w:val="en-AU"/>
      </w:rPr>
      <w:t>2</w:t>
    </w:r>
    <w:r w:rsidRPr="007B4E0D">
      <w:rPr>
        <w:sz w:val="18"/>
        <w:szCs w:val="18"/>
      </w:rP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67"/>
    <w:multiLevelType w:val="hybridMultilevel"/>
    <w:tmpl w:val="97205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6DA6602"/>
    <w:multiLevelType w:val="hybridMultilevel"/>
    <w:tmpl w:val="8BD4D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F327CC"/>
    <w:multiLevelType w:val="hybridMultilevel"/>
    <w:tmpl w:val="E42E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6"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7"/>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1F"/>
    <w:rsid w:val="00027228"/>
    <w:rsid w:val="00042E0C"/>
    <w:rsid w:val="0005780E"/>
    <w:rsid w:val="00095202"/>
    <w:rsid w:val="000A71F7"/>
    <w:rsid w:val="000F09E4"/>
    <w:rsid w:val="000F16FD"/>
    <w:rsid w:val="00164D7A"/>
    <w:rsid w:val="00180973"/>
    <w:rsid w:val="001E5ED4"/>
    <w:rsid w:val="002233AF"/>
    <w:rsid w:val="002279BA"/>
    <w:rsid w:val="002329F3"/>
    <w:rsid w:val="00243F0D"/>
    <w:rsid w:val="002647BB"/>
    <w:rsid w:val="00265330"/>
    <w:rsid w:val="002754C1"/>
    <w:rsid w:val="002841C8"/>
    <w:rsid w:val="0028516B"/>
    <w:rsid w:val="002C6F90"/>
    <w:rsid w:val="00302FB8"/>
    <w:rsid w:val="00304EA1"/>
    <w:rsid w:val="00314D81"/>
    <w:rsid w:val="00316AB0"/>
    <w:rsid w:val="00322FC6"/>
    <w:rsid w:val="00372723"/>
    <w:rsid w:val="00391986"/>
    <w:rsid w:val="00400A2A"/>
    <w:rsid w:val="00416B45"/>
    <w:rsid w:val="00417AA3"/>
    <w:rsid w:val="00440B32"/>
    <w:rsid w:val="0046078D"/>
    <w:rsid w:val="004A2ED8"/>
    <w:rsid w:val="004F5BDA"/>
    <w:rsid w:val="0051631E"/>
    <w:rsid w:val="00536E80"/>
    <w:rsid w:val="00566029"/>
    <w:rsid w:val="005923CB"/>
    <w:rsid w:val="005B391B"/>
    <w:rsid w:val="005C4323"/>
    <w:rsid w:val="005D3D78"/>
    <w:rsid w:val="005E2EF0"/>
    <w:rsid w:val="006202F9"/>
    <w:rsid w:val="00656B26"/>
    <w:rsid w:val="00693FFD"/>
    <w:rsid w:val="006D2159"/>
    <w:rsid w:val="006F787C"/>
    <w:rsid w:val="00702636"/>
    <w:rsid w:val="00724507"/>
    <w:rsid w:val="00751217"/>
    <w:rsid w:val="0076106A"/>
    <w:rsid w:val="00773E6C"/>
    <w:rsid w:val="007B186E"/>
    <w:rsid w:val="007B4E0D"/>
    <w:rsid w:val="00813C37"/>
    <w:rsid w:val="008154B5"/>
    <w:rsid w:val="00823962"/>
    <w:rsid w:val="00834226"/>
    <w:rsid w:val="00852719"/>
    <w:rsid w:val="00860115"/>
    <w:rsid w:val="0088783C"/>
    <w:rsid w:val="009370BC"/>
    <w:rsid w:val="0098739B"/>
    <w:rsid w:val="00A17661"/>
    <w:rsid w:val="00A24B2D"/>
    <w:rsid w:val="00A30AF1"/>
    <w:rsid w:val="00A40966"/>
    <w:rsid w:val="00A51560"/>
    <w:rsid w:val="00A8271F"/>
    <w:rsid w:val="00A921E0"/>
    <w:rsid w:val="00B0738F"/>
    <w:rsid w:val="00B26601"/>
    <w:rsid w:val="00B41951"/>
    <w:rsid w:val="00B53229"/>
    <w:rsid w:val="00B62480"/>
    <w:rsid w:val="00B81B70"/>
    <w:rsid w:val="00BB5A65"/>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A654D"/>
    <w:rsid w:val="00DC21C3"/>
    <w:rsid w:val="00E23F1D"/>
    <w:rsid w:val="00E36361"/>
    <w:rsid w:val="00E55AE9"/>
    <w:rsid w:val="00E817EB"/>
    <w:rsid w:val="00F40D53"/>
    <w:rsid w:val="00F4525C"/>
    <w:rsid w:val="00FC11C4"/>
    <w:rsid w:val="00FC3909"/>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76681F"/>
  <w15:docId w15:val="{733C72EC-2D88-4770-88D8-06CEBC4A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95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A8271F"/>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673D-70EA-483E-9E94-7F0CB1F26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F1451-8682-4C89-950B-3837ECB78E2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207D39-70C6-4E9A-A92D-3558E406FD3A}">
  <ds:schemaRefs>
    <ds:schemaRef ds:uri="http://schemas.microsoft.com/sharepoint/v3/contenttype/forms"/>
  </ds:schemaRefs>
</ds:datastoreItem>
</file>

<file path=customXml/itemProps4.xml><?xml version="1.0" encoding="utf-8"?>
<ds:datastoreItem xmlns:ds="http://schemas.openxmlformats.org/officeDocument/2006/customXml" ds:itemID="{F7D5E6E4-D827-4241-8AFA-010C2470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VCE Physics: Sample teaching plan</vt:lpstr>
    </vt:vector>
  </TitlesOfParts>
  <Company>Victorian Curriculum and Assessment Authority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 Sample teaching plan</dc:title>
  <dc:subject>Physics</dc:subject>
  <dc:creator>Coleman, Julie J</dc:creator>
  <cp:keywords>Physics, sample, teaching, plan, coursework, fieldwork</cp:keywords>
  <cp:lastModifiedBy>Coleman, Julie J</cp:lastModifiedBy>
  <cp:revision>3</cp:revision>
  <cp:lastPrinted>2015-05-15T02:35:00Z</cp:lastPrinted>
  <dcterms:created xsi:type="dcterms:W3CDTF">2020-07-13T04:20:00Z</dcterms:created>
  <dcterms:modified xsi:type="dcterms:W3CDTF">2020-07-13T04:33:00Z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