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3D5149" w:rsidRDefault="003D5149" w:rsidP="008B21C2">
      <w:pPr>
        <w:pStyle w:val="VCAADocumenttitle"/>
        <w:spacing w:before="0" w:after="120"/>
        <w:rPr>
          <w:sz w:val="44"/>
          <w:szCs w:val="44"/>
        </w:rPr>
      </w:pPr>
      <w:r w:rsidRPr="003D5149">
        <w:rPr>
          <w:sz w:val="44"/>
          <w:szCs w:val="44"/>
        </w:rPr>
        <w:t xml:space="preserve">VCE </w:t>
      </w:r>
      <w:r w:rsidR="00FA0346">
        <w:rPr>
          <w:sz w:val="44"/>
          <w:szCs w:val="44"/>
        </w:rPr>
        <w:t>Physics</w:t>
      </w:r>
      <w:r w:rsidRPr="003D5149">
        <w:rPr>
          <w:sz w:val="44"/>
          <w:szCs w:val="44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D5149" w:rsidTr="008B21C2">
        <w:tc>
          <w:tcPr>
            <w:tcW w:w="14788" w:type="dxa"/>
            <w:gridSpan w:val="6"/>
            <w:shd w:val="clear" w:color="auto" w:fill="DCE4F0" w:themeFill="accent6" w:themeFillTint="33"/>
            <w:vAlign w:val="center"/>
          </w:tcPr>
          <w:p w:rsidR="003D5149" w:rsidRPr="00547BDF" w:rsidRDefault="008B21C2" w:rsidP="00FA0346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PHYSICS</w:t>
            </w:r>
          </w:p>
          <w:p w:rsidR="003D5149" w:rsidRDefault="003D5149" w:rsidP="00FA0346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3D5149" w:rsidTr="008B21C2">
        <w:tc>
          <w:tcPr>
            <w:tcW w:w="14788" w:type="dxa"/>
            <w:gridSpan w:val="6"/>
            <w:tcBorders>
              <w:bottom w:val="single" w:sz="4" w:space="0" w:color="auto"/>
            </w:tcBorders>
            <w:vAlign w:val="center"/>
          </w:tcPr>
          <w:p w:rsidR="003D5149" w:rsidRDefault="003D5149" w:rsidP="00FA0346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3D5149" w:rsidRPr="006770E6" w:rsidTr="008B21C2"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3D5149" w:rsidRPr="006770E6" w:rsidRDefault="003D5149" w:rsidP="00FA0346">
            <w:pPr>
              <w:rPr>
                <w:sz w:val="12"/>
                <w:szCs w:val="12"/>
              </w:rPr>
            </w:pPr>
          </w:p>
        </w:tc>
      </w:tr>
      <w:tr w:rsidR="008B21C2" w:rsidTr="008B21C2">
        <w:tc>
          <w:tcPr>
            <w:tcW w:w="1909" w:type="dxa"/>
            <w:vMerge w:val="restart"/>
            <w:vAlign w:val="center"/>
          </w:tcPr>
          <w:p w:rsidR="008B21C2" w:rsidRPr="0052614A" w:rsidRDefault="008B21C2" w:rsidP="00FA034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8B21C2" w:rsidRPr="0052614A" w:rsidRDefault="008B21C2" w:rsidP="00FA0346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4A04F2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8B21C2" w:rsidRPr="00EB20E2" w:rsidRDefault="00BE0CD2" w:rsidP="00FA034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I</w:t>
            </w:r>
            <w:bookmarkStart w:id="0" w:name="_GoBack"/>
            <w:bookmarkEnd w:id="0"/>
            <w:r w:rsidR="004A04F2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nvestigate motion and related energy transformations experimentally, </w:t>
            </w:r>
            <w:proofErr w:type="spellStart"/>
            <w:r w:rsidR="004A04F2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analyse</w:t>
            </w:r>
            <w:proofErr w:type="spellEnd"/>
            <w:r w:rsidR="004A04F2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motion using Newton’s laws of motion in one and two dimensions, and </w:t>
            </w:r>
            <w:r w:rsidR="004A04F2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explain</w:t>
            </w:r>
            <w:r w:rsidR="004A04F2"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the motion of objects moving at very large speeds using Einstein’s theory of special relativity</w:t>
            </w:r>
            <w:r w:rsidR="004A04F2" w:rsidRPr="00B154ED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.</w:t>
            </w:r>
          </w:p>
        </w:tc>
        <w:tc>
          <w:tcPr>
            <w:tcW w:w="12879" w:type="dxa"/>
            <w:gridSpan w:val="5"/>
            <w:vAlign w:val="center"/>
          </w:tcPr>
          <w:p w:rsidR="008B21C2" w:rsidRPr="00EB20E2" w:rsidRDefault="008B21C2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8B21C2" w:rsidTr="008B21C2">
        <w:tc>
          <w:tcPr>
            <w:tcW w:w="1909" w:type="dxa"/>
            <w:vMerge/>
            <w:vAlign w:val="center"/>
          </w:tcPr>
          <w:p w:rsidR="008B21C2" w:rsidRDefault="008B21C2" w:rsidP="00FA0346">
            <w:pPr>
              <w:spacing w:before="120" w:after="120"/>
            </w:pPr>
          </w:p>
        </w:tc>
        <w:tc>
          <w:tcPr>
            <w:tcW w:w="2575" w:type="dxa"/>
            <w:vAlign w:val="center"/>
          </w:tcPr>
          <w:p w:rsidR="008B21C2" w:rsidRPr="0052614A" w:rsidRDefault="008B21C2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76" w:type="dxa"/>
            <w:vAlign w:val="center"/>
          </w:tcPr>
          <w:p w:rsidR="008B21C2" w:rsidRPr="0052614A" w:rsidRDefault="008B21C2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75" w:type="dxa"/>
            <w:vAlign w:val="center"/>
          </w:tcPr>
          <w:p w:rsidR="008B21C2" w:rsidRPr="0052614A" w:rsidRDefault="008B21C2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76" w:type="dxa"/>
            <w:vAlign w:val="center"/>
          </w:tcPr>
          <w:p w:rsidR="008B21C2" w:rsidRPr="0052614A" w:rsidRDefault="008B21C2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77" w:type="dxa"/>
            <w:vAlign w:val="center"/>
          </w:tcPr>
          <w:p w:rsidR="008B21C2" w:rsidRPr="0052614A" w:rsidRDefault="008B21C2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4A04F2" w:rsidTr="008B21C2">
        <w:tc>
          <w:tcPr>
            <w:tcW w:w="1909" w:type="dxa"/>
            <w:vMerge/>
            <w:vAlign w:val="center"/>
          </w:tcPr>
          <w:p w:rsidR="004A04F2" w:rsidRDefault="004A04F2" w:rsidP="00FA0346"/>
        </w:tc>
        <w:tc>
          <w:tcPr>
            <w:tcW w:w="2575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>Very limited collection and presentation of data and representation of experimental findings related to motion and related energy transformations.</w:t>
            </w:r>
          </w:p>
        </w:tc>
        <w:tc>
          <w:tcPr>
            <w:tcW w:w="2576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>Limited collection and presentation of relevant data and representation of experimental findings related to motion and related energy transformations.</w:t>
            </w:r>
          </w:p>
        </w:tc>
        <w:tc>
          <w:tcPr>
            <w:tcW w:w="2575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>Appropriate collection and presentation of relevant data and representation of experimental findings related to motion and related energy transformations.</w:t>
            </w:r>
          </w:p>
        </w:tc>
        <w:tc>
          <w:tcPr>
            <w:tcW w:w="2576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>Purposeful collection and clear presentation of relevant data and representation of experimental findings related to motion and related energy transformations.</w:t>
            </w:r>
          </w:p>
        </w:tc>
        <w:tc>
          <w:tcPr>
            <w:tcW w:w="2577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 xml:space="preserve">Highly proficient collection and presentation of relevant data and representation of experimental findings related to motion and related energy transformations. </w:t>
            </w:r>
          </w:p>
        </w:tc>
      </w:tr>
      <w:tr w:rsidR="004A04F2" w:rsidTr="008B21C2">
        <w:tc>
          <w:tcPr>
            <w:tcW w:w="1909" w:type="dxa"/>
            <w:vMerge/>
          </w:tcPr>
          <w:p w:rsidR="004A04F2" w:rsidRDefault="004A04F2" w:rsidP="00FA0346"/>
        </w:tc>
        <w:tc>
          <w:tcPr>
            <w:tcW w:w="2575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 xml:space="preserve">Very limited use of the Newtonian model in </w:t>
            </w:r>
            <w:proofErr w:type="spellStart"/>
            <w:r w:rsidRPr="004A04F2">
              <w:rPr>
                <w:sz w:val="18"/>
                <w:szCs w:val="18"/>
              </w:rPr>
              <w:t>analysing</w:t>
            </w:r>
            <w:proofErr w:type="spellEnd"/>
            <w:r w:rsidRPr="004A04F2">
              <w:rPr>
                <w:sz w:val="18"/>
                <w:szCs w:val="18"/>
              </w:rPr>
              <w:t xml:space="preserve"> motion in one and two dimensions in limited contexts.</w:t>
            </w:r>
          </w:p>
        </w:tc>
        <w:tc>
          <w:tcPr>
            <w:tcW w:w="2576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 xml:space="preserve">Limited use of the Newtonian model in </w:t>
            </w:r>
            <w:proofErr w:type="spellStart"/>
            <w:r w:rsidRPr="004A04F2">
              <w:rPr>
                <w:sz w:val="18"/>
                <w:szCs w:val="18"/>
              </w:rPr>
              <w:t>analysing</w:t>
            </w:r>
            <w:proofErr w:type="spellEnd"/>
            <w:r w:rsidRPr="004A04F2">
              <w:rPr>
                <w:sz w:val="18"/>
                <w:szCs w:val="18"/>
              </w:rPr>
              <w:t xml:space="preserve"> motion in one and two dimensions in several contexts.</w:t>
            </w:r>
          </w:p>
        </w:tc>
        <w:tc>
          <w:tcPr>
            <w:tcW w:w="2575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 xml:space="preserve">Satisfactory use of the Newtonian model in </w:t>
            </w:r>
            <w:proofErr w:type="spellStart"/>
            <w:r w:rsidRPr="004A04F2">
              <w:rPr>
                <w:sz w:val="18"/>
                <w:szCs w:val="18"/>
              </w:rPr>
              <w:t>analysing</w:t>
            </w:r>
            <w:proofErr w:type="spellEnd"/>
            <w:r w:rsidRPr="004A04F2">
              <w:rPr>
                <w:sz w:val="18"/>
                <w:szCs w:val="18"/>
              </w:rPr>
              <w:t xml:space="preserve"> motion in one and two dimensions in several contexts.</w:t>
            </w:r>
          </w:p>
        </w:tc>
        <w:tc>
          <w:tcPr>
            <w:tcW w:w="2576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 xml:space="preserve">Mostly proficient use of the Newtonian model in </w:t>
            </w:r>
            <w:proofErr w:type="spellStart"/>
            <w:r w:rsidRPr="004A04F2">
              <w:rPr>
                <w:sz w:val="18"/>
                <w:szCs w:val="18"/>
              </w:rPr>
              <w:t>analysing</w:t>
            </w:r>
            <w:proofErr w:type="spellEnd"/>
            <w:r w:rsidRPr="004A04F2">
              <w:rPr>
                <w:sz w:val="18"/>
                <w:szCs w:val="18"/>
              </w:rPr>
              <w:t xml:space="preserve"> motion in one and two dimensions in a broad range of contexts.</w:t>
            </w:r>
          </w:p>
        </w:tc>
        <w:tc>
          <w:tcPr>
            <w:tcW w:w="2577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 xml:space="preserve">Highly proficient use of the Newtonian model in </w:t>
            </w:r>
            <w:proofErr w:type="spellStart"/>
            <w:r w:rsidRPr="004A04F2">
              <w:rPr>
                <w:sz w:val="18"/>
                <w:szCs w:val="18"/>
              </w:rPr>
              <w:t>analysing</w:t>
            </w:r>
            <w:proofErr w:type="spellEnd"/>
            <w:r w:rsidRPr="004A04F2">
              <w:rPr>
                <w:sz w:val="18"/>
                <w:szCs w:val="18"/>
              </w:rPr>
              <w:t xml:space="preserve"> motion in one and two dimensions in a broad range of contexts.</w:t>
            </w:r>
          </w:p>
        </w:tc>
      </w:tr>
      <w:tr w:rsidR="004A04F2" w:rsidTr="008B21C2">
        <w:tc>
          <w:tcPr>
            <w:tcW w:w="1909" w:type="dxa"/>
            <w:vMerge/>
          </w:tcPr>
          <w:p w:rsidR="004A04F2" w:rsidRDefault="004A04F2" w:rsidP="00FA0346"/>
        </w:tc>
        <w:tc>
          <w:tcPr>
            <w:tcW w:w="2575" w:type="dxa"/>
          </w:tcPr>
          <w:p w:rsidR="004A04F2" w:rsidRPr="004A04F2" w:rsidRDefault="004A04F2" w:rsidP="004A04F2">
            <w:pPr>
              <w:spacing w:before="120" w:after="120"/>
              <w:rPr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>Very limited understanding and description of the motion of objects moving at high speeds.</w:t>
            </w:r>
          </w:p>
        </w:tc>
        <w:tc>
          <w:tcPr>
            <w:tcW w:w="2576" w:type="dxa"/>
          </w:tcPr>
          <w:p w:rsidR="004A04F2" w:rsidRPr="004A04F2" w:rsidRDefault="004A04F2" w:rsidP="004A04F2">
            <w:pPr>
              <w:spacing w:before="120" w:after="120"/>
              <w:rPr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>Limited understanding and description of the motion of objects moving at high speeds.</w:t>
            </w:r>
          </w:p>
        </w:tc>
        <w:tc>
          <w:tcPr>
            <w:tcW w:w="2575" w:type="dxa"/>
          </w:tcPr>
          <w:p w:rsidR="004A04F2" w:rsidRPr="004A04F2" w:rsidRDefault="004A04F2" w:rsidP="004A04F2">
            <w:pPr>
              <w:spacing w:before="120" w:after="120"/>
              <w:rPr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>Sound understanding and description of the motion of objects moving at high speeds.</w:t>
            </w:r>
          </w:p>
        </w:tc>
        <w:tc>
          <w:tcPr>
            <w:tcW w:w="2576" w:type="dxa"/>
          </w:tcPr>
          <w:p w:rsidR="004A04F2" w:rsidRPr="004A04F2" w:rsidRDefault="004A04F2" w:rsidP="004A04F2">
            <w:pPr>
              <w:spacing w:before="120" w:after="120"/>
              <w:rPr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>Well-developed understanding and description of the motion of objects moving at high speeds.</w:t>
            </w:r>
          </w:p>
        </w:tc>
        <w:tc>
          <w:tcPr>
            <w:tcW w:w="2577" w:type="dxa"/>
          </w:tcPr>
          <w:p w:rsidR="004A04F2" w:rsidRPr="004A04F2" w:rsidRDefault="004A04F2" w:rsidP="004A04F2">
            <w:pPr>
              <w:spacing w:before="120" w:after="120"/>
              <w:rPr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>Comprehensive understanding and description of the motion of objects moving at high speeds.</w:t>
            </w:r>
          </w:p>
        </w:tc>
      </w:tr>
      <w:tr w:rsidR="004A04F2" w:rsidTr="008B21C2">
        <w:tc>
          <w:tcPr>
            <w:tcW w:w="1909" w:type="dxa"/>
            <w:vMerge/>
          </w:tcPr>
          <w:p w:rsidR="004A04F2" w:rsidRDefault="004A04F2" w:rsidP="00FA0346"/>
        </w:tc>
        <w:tc>
          <w:tcPr>
            <w:tcW w:w="2575" w:type="dxa"/>
          </w:tcPr>
          <w:p w:rsidR="004A04F2" w:rsidRPr="004A04F2" w:rsidRDefault="004A04F2" w:rsidP="004A04F2">
            <w:pPr>
              <w:spacing w:before="120" w:after="120"/>
              <w:rPr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 xml:space="preserve">Very limited understanding of the difference between the Newtonian model and </w:t>
            </w:r>
            <w:proofErr w:type="spellStart"/>
            <w:r w:rsidRPr="004A04F2">
              <w:rPr>
                <w:sz w:val="18"/>
                <w:szCs w:val="18"/>
              </w:rPr>
              <w:t>Einsteinian</w:t>
            </w:r>
            <w:proofErr w:type="spellEnd"/>
            <w:r w:rsidRPr="004A04F2">
              <w:rPr>
                <w:sz w:val="18"/>
                <w:szCs w:val="18"/>
              </w:rPr>
              <w:t xml:space="preserve"> theories of motion.</w:t>
            </w:r>
          </w:p>
        </w:tc>
        <w:tc>
          <w:tcPr>
            <w:tcW w:w="2576" w:type="dxa"/>
          </w:tcPr>
          <w:p w:rsidR="004A04F2" w:rsidRPr="004A04F2" w:rsidRDefault="004A04F2" w:rsidP="004A04F2">
            <w:pPr>
              <w:spacing w:before="120" w:after="120"/>
              <w:rPr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 xml:space="preserve">Limited understanding of the difference between the Newtonian model and </w:t>
            </w:r>
            <w:proofErr w:type="spellStart"/>
            <w:r w:rsidRPr="004A04F2">
              <w:rPr>
                <w:sz w:val="18"/>
                <w:szCs w:val="18"/>
              </w:rPr>
              <w:t>Einsteinian</w:t>
            </w:r>
            <w:proofErr w:type="spellEnd"/>
            <w:r w:rsidRPr="004A04F2">
              <w:rPr>
                <w:sz w:val="18"/>
                <w:szCs w:val="18"/>
              </w:rPr>
              <w:t xml:space="preserve"> theories of motion.</w:t>
            </w:r>
          </w:p>
        </w:tc>
        <w:tc>
          <w:tcPr>
            <w:tcW w:w="2575" w:type="dxa"/>
          </w:tcPr>
          <w:p w:rsidR="004A04F2" w:rsidRPr="004A04F2" w:rsidRDefault="004A04F2" w:rsidP="004A04F2">
            <w:pPr>
              <w:spacing w:before="120" w:after="120"/>
              <w:rPr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 xml:space="preserve">Satisfactory understanding of the difference between the Newtonian model and </w:t>
            </w:r>
            <w:proofErr w:type="spellStart"/>
            <w:r w:rsidRPr="004A04F2">
              <w:rPr>
                <w:sz w:val="18"/>
                <w:szCs w:val="18"/>
              </w:rPr>
              <w:t>Einsteinian</w:t>
            </w:r>
            <w:proofErr w:type="spellEnd"/>
            <w:r w:rsidRPr="004A04F2">
              <w:rPr>
                <w:sz w:val="18"/>
                <w:szCs w:val="18"/>
              </w:rPr>
              <w:t xml:space="preserve"> theories of motion.</w:t>
            </w:r>
          </w:p>
        </w:tc>
        <w:tc>
          <w:tcPr>
            <w:tcW w:w="2576" w:type="dxa"/>
          </w:tcPr>
          <w:p w:rsidR="004A04F2" w:rsidRPr="004A04F2" w:rsidRDefault="004A04F2" w:rsidP="004A04F2">
            <w:pPr>
              <w:spacing w:before="120" w:after="120"/>
              <w:rPr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 xml:space="preserve">Well-developed understanding of the difference between the Newtonian model and </w:t>
            </w:r>
            <w:proofErr w:type="spellStart"/>
            <w:r w:rsidRPr="004A04F2">
              <w:rPr>
                <w:sz w:val="18"/>
                <w:szCs w:val="18"/>
              </w:rPr>
              <w:t>Einsteinian</w:t>
            </w:r>
            <w:proofErr w:type="spellEnd"/>
            <w:r w:rsidRPr="004A04F2">
              <w:rPr>
                <w:sz w:val="18"/>
                <w:szCs w:val="18"/>
              </w:rPr>
              <w:t xml:space="preserve"> theories of motion.</w:t>
            </w:r>
          </w:p>
        </w:tc>
        <w:tc>
          <w:tcPr>
            <w:tcW w:w="2577" w:type="dxa"/>
          </w:tcPr>
          <w:p w:rsidR="004A04F2" w:rsidRPr="004A04F2" w:rsidRDefault="004A04F2" w:rsidP="004A04F2">
            <w:pPr>
              <w:spacing w:before="120" w:after="120"/>
              <w:rPr>
                <w:sz w:val="18"/>
                <w:szCs w:val="18"/>
              </w:rPr>
            </w:pPr>
            <w:r w:rsidRPr="004A04F2">
              <w:rPr>
                <w:sz w:val="18"/>
                <w:szCs w:val="18"/>
              </w:rPr>
              <w:t xml:space="preserve">Thorough understanding of the difference between the Newtonian model and </w:t>
            </w:r>
            <w:proofErr w:type="spellStart"/>
            <w:r w:rsidRPr="004A04F2">
              <w:rPr>
                <w:sz w:val="18"/>
                <w:szCs w:val="18"/>
              </w:rPr>
              <w:t>Einsteinian</w:t>
            </w:r>
            <w:proofErr w:type="spellEnd"/>
            <w:r w:rsidRPr="004A04F2">
              <w:rPr>
                <w:sz w:val="18"/>
                <w:szCs w:val="18"/>
              </w:rPr>
              <w:t xml:space="preserve"> theories of motion.</w:t>
            </w:r>
          </w:p>
        </w:tc>
      </w:tr>
    </w:tbl>
    <w:p w:rsidR="004A04F2" w:rsidRDefault="004A04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4A04F2" w:rsidTr="008B21C2">
        <w:tc>
          <w:tcPr>
            <w:tcW w:w="1909" w:type="dxa"/>
            <w:vMerge w:val="restart"/>
          </w:tcPr>
          <w:p w:rsidR="004A04F2" w:rsidRDefault="004A04F2" w:rsidP="00FA0346"/>
        </w:tc>
        <w:tc>
          <w:tcPr>
            <w:tcW w:w="2575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 xml:space="preserve">Very limited collection of relevant data and very limited use of data from experiments, texts, tables, graphs and diagrams to answer questions, to draw conclusions and to </w:t>
            </w:r>
            <w:proofErr w:type="spellStart"/>
            <w:r w:rsidRPr="004A04F2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4A04F2">
              <w:rPr>
                <w:rFonts w:eastAsia="Calibri" w:cs="Arial"/>
                <w:sz w:val="18"/>
                <w:szCs w:val="18"/>
              </w:rPr>
              <w:t xml:space="preserve"> experimental errors and limitations.</w:t>
            </w:r>
          </w:p>
        </w:tc>
        <w:tc>
          <w:tcPr>
            <w:tcW w:w="2576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 xml:space="preserve">Limited collection of relevant data and some use of data from experiments, texts, tables, graphs and diagrams to answer questions, to draw conclusions and to </w:t>
            </w:r>
            <w:proofErr w:type="spellStart"/>
            <w:r w:rsidRPr="004A04F2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4A04F2">
              <w:rPr>
                <w:rFonts w:eastAsia="Calibri" w:cs="Arial"/>
                <w:sz w:val="18"/>
                <w:szCs w:val="18"/>
              </w:rPr>
              <w:t xml:space="preserve"> experimental errors and limitations.</w:t>
            </w:r>
          </w:p>
        </w:tc>
        <w:tc>
          <w:tcPr>
            <w:tcW w:w="2575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 xml:space="preserve">Appropriate collection of relevant data and sound use of data from experiments, texts, tables, graphs and diagrams to answer questions, to draw conclusions and to </w:t>
            </w:r>
            <w:proofErr w:type="spellStart"/>
            <w:r w:rsidRPr="004A04F2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4A04F2">
              <w:rPr>
                <w:rFonts w:eastAsia="Calibri" w:cs="Arial"/>
                <w:sz w:val="18"/>
                <w:szCs w:val="18"/>
              </w:rPr>
              <w:t xml:space="preserve"> experimental errors and limitations.</w:t>
            </w:r>
          </w:p>
        </w:tc>
        <w:tc>
          <w:tcPr>
            <w:tcW w:w="2576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 xml:space="preserve">Purposeful collection of relevant data and accurate use of data from experiments, texts, tables, graphs and diagrams to answer questions, to draw conclusions and to </w:t>
            </w:r>
            <w:proofErr w:type="spellStart"/>
            <w:r w:rsidRPr="004A04F2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4A04F2">
              <w:rPr>
                <w:rFonts w:eastAsia="Calibri" w:cs="Arial"/>
                <w:sz w:val="18"/>
                <w:szCs w:val="18"/>
              </w:rPr>
              <w:t xml:space="preserve"> experimental errors and limitations.</w:t>
            </w:r>
          </w:p>
        </w:tc>
        <w:tc>
          <w:tcPr>
            <w:tcW w:w="2577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 xml:space="preserve">Highly proficient collection of relevant data and insightful use of data from experiments, texts, tables, graphs and diagrams to answer questions, to draw conclusions and to </w:t>
            </w:r>
            <w:proofErr w:type="spellStart"/>
            <w:r w:rsidRPr="004A04F2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4A04F2">
              <w:rPr>
                <w:rFonts w:eastAsia="Calibri" w:cs="Arial"/>
                <w:sz w:val="18"/>
                <w:szCs w:val="18"/>
              </w:rPr>
              <w:t xml:space="preserve"> experimental errors and limitations.</w:t>
            </w:r>
          </w:p>
        </w:tc>
      </w:tr>
      <w:tr w:rsidR="004A04F2" w:rsidTr="008B21C2">
        <w:tc>
          <w:tcPr>
            <w:tcW w:w="1909" w:type="dxa"/>
            <w:vMerge/>
          </w:tcPr>
          <w:p w:rsidR="004A04F2" w:rsidRDefault="004A04F2" w:rsidP="00FA0346"/>
        </w:tc>
        <w:tc>
          <w:tcPr>
            <w:tcW w:w="2575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 xml:space="preserve">Very limited use of physics terminology, units, representations and conventions. </w:t>
            </w:r>
          </w:p>
        </w:tc>
        <w:tc>
          <w:tcPr>
            <w:tcW w:w="2576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 xml:space="preserve">Some appropriate use of physics terminology, units, representations and conventions. </w:t>
            </w:r>
          </w:p>
        </w:tc>
        <w:tc>
          <w:tcPr>
            <w:tcW w:w="2575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 xml:space="preserve">Appropriate use of most physics terminology, units, representations and conventions. </w:t>
            </w:r>
          </w:p>
        </w:tc>
        <w:tc>
          <w:tcPr>
            <w:tcW w:w="2576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>Effective and appropriate use of physics terminology, units, representations and conventions.</w:t>
            </w:r>
          </w:p>
        </w:tc>
        <w:tc>
          <w:tcPr>
            <w:tcW w:w="2577" w:type="dxa"/>
          </w:tcPr>
          <w:p w:rsidR="004A04F2" w:rsidRPr="004A04F2" w:rsidRDefault="004A04F2" w:rsidP="004A04F2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4A04F2">
              <w:rPr>
                <w:rFonts w:eastAsia="Calibri" w:cs="Arial"/>
                <w:sz w:val="18"/>
                <w:szCs w:val="18"/>
              </w:rPr>
              <w:t xml:space="preserve">Proficient and highly appropriate use of physics terminology, units, representations and conventions. </w:t>
            </w:r>
          </w:p>
        </w:tc>
      </w:tr>
    </w:tbl>
    <w:p w:rsidR="003D5149" w:rsidRPr="003D5149" w:rsidRDefault="003D5149" w:rsidP="003D5149">
      <w:pPr>
        <w:spacing w:before="240" w:after="120"/>
        <w:rPr>
          <w:sz w:val="18"/>
          <w:szCs w:val="18"/>
        </w:rPr>
      </w:pPr>
      <w:r w:rsidRPr="003D5149">
        <w:rPr>
          <w:sz w:val="18"/>
          <w:szCs w:val="18"/>
        </w:rPr>
        <w:t xml:space="preserve">KEY to marking scale based on the outcome contributing </w:t>
      </w:r>
      <w:r w:rsidR="00FA0346">
        <w:rPr>
          <w:sz w:val="18"/>
          <w:szCs w:val="18"/>
        </w:rPr>
        <w:t>3</w:t>
      </w:r>
      <w:r w:rsidRPr="003D5149">
        <w:rPr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3D5149" w:rsidRPr="003D5149" w:rsidTr="00FA0346">
        <w:trPr>
          <w:trHeight w:val="170"/>
        </w:trPr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Very Low 1–</w:t>
            </w:r>
            <w:r w:rsidR="00FA0346">
              <w:rPr>
                <w:sz w:val="18"/>
                <w:szCs w:val="18"/>
              </w:rPr>
              <w:t>6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Low </w:t>
            </w:r>
            <w:r w:rsidR="00FA0346">
              <w:rPr>
                <w:sz w:val="18"/>
                <w:szCs w:val="18"/>
              </w:rPr>
              <w:t>7–1</w:t>
            </w:r>
            <w:r w:rsidRPr="003D5149">
              <w:rPr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Medium </w:t>
            </w:r>
            <w:r w:rsidR="00FA0346">
              <w:rPr>
                <w:sz w:val="18"/>
                <w:szCs w:val="18"/>
              </w:rPr>
              <w:t>13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18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High </w:t>
            </w:r>
            <w:r w:rsidR="00FA0346">
              <w:rPr>
                <w:sz w:val="18"/>
                <w:szCs w:val="18"/>
              </w:rPr>
              <w:t>19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24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Very High </w:t>
            </w:r>
            <w:r w:rsidR="00FA0346">
              <w:rPr>
                <w:sz w:val="18"/>
                <w:szCs w:val="18"/>
              </w:rPr>
              <w:t>25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3</w:t>
            </w:r>
            <w:r w:rsidRPr="003D5149">
              <w:rPr>
                <w:sz w:val="18"/>
                <w:szCs w:val="18"/>
              </w:rPr>
              <w:t>0</w:t>
            </w:r>
          </w:p>
        </w:tc>
      </w:tr>
    </w:tbl>
    <w:p w:rsidR="00D3388E" w:rsidRDefault="00D3388E" w:rsidP="00D3388E"/>
    <w:p w:rsidR="002647BB" w:rsidRDefault="002647BB" w:rsidP="005D3D78"/>
    <w:sectPr w:rsidR="002647BB" w:rsidSect="00D338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46" w:rsidRDefault="00FA0346" w:rsidP="00304EA1">
      <w:pPr>
        <w:spacing w:after="0" w:line="240" w:lineRule="auto"/>
      </w:pPr>
      <w:r>
        <w:separator/>
      </w:r>
    </w:p>
  </w:endnote>
  <w:endnote w:type="continuationSeparator" w:id="0">
    <w:p w:rsidR="00FA0346" w:rsidRDefault="00FA034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Pr="00243F0D" w:rsidRDefault="00FA0346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BE0CD2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Default="00FA0346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46" w:rsidRDefault="00FA0346" w:rsidP="00304EA1">
      <w:pPr>
        <w:spacing w:after="0" w:line="240" w:lineRule="auto"/>
      </w:pPr>
      <w:r>
        <w:separator/>
      </w:r>
    </w:p>
  </w:footnote>
  <w:footnote w:type="continuationSeparator" w:id="0">
    <w:p w:rsidR="00FA0346" w:rsidRDefault="00FA034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1431F13C542F49CC8F69DCE00203DA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A0346" w:rsidRPr="00D86DE4" w:rsidRDefault="008B21C2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 xml:space="preserve">VCE Physics: Unit 3 Outcome </w:t>
        </w:r>
        <w:r w:rsidR="004A04F2">
          <w:rPr>
            <w:color w:val="999999" w:themeColor="accent2"/>
            <w:lang w:val="en-AU"/>
          </w:rPr>
          <w:t>3</w:t>
        </w:r>
        <w:r w:rsidR="00FA0346">
          <w:rPr>
            <w:color w:val="999999" w:themeColor="accent2"/>
            <w:lang w:val="en-AU"/>
          </w:rPr>
          <w:t xml:space="preserve"> 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Pr="009370BC" w:rsidRDefault="00FA0346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9"/>
    <w:rsid w:val="00027228"/>
    <w:rsid w:val="0005780E"/>
    <w:rsid w:val="000A71F7"/>
    <w:rsid w:val="000F09E4"/>
    <w:rsid w:val="000F16FD"/>
    <w:rsid w:val="00164D7A"/>
    <w:rsid w:val="001675CF"/>
    <w:rsid w:val="0018097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D5149"/>
    <w:rsid w:val="00400A2A"/>
    <w:rsid w:val="00416B45"/>
    <w:rsid w:val="00417AA3"/>
    <w:rsid w:val="00440B32"/>
    <w:rsid w:val="0046078D"/>
    <w:rsid w:val="004A04F2"/>
    <w:rsid w:val="004A2ED8"/>
    <w:rsid w:val="004A6E9A"/>
    <w:rsid w:val="004F5BDA"/>
    <w:rsid w:val="0051631E"/>
    <w:rsid w:val="00536E80"/>
    <w:rsid w:val="005551D1"/>
    <w:rsid w:val="00566029"/>
    <w:rsid w:val="005923CB"/>
    <w:rsid w:val="005B391B"/>
    <w:rsid w:val="005D3D78"/>
    <w:rsid w:val="005E2EF0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8B21C2"/>
    <w:rsid w:val="009370BC"/>
    <w:rsid w:val="0098739B"/>
    <w:rsid w:val="00A12C14"/>
    <w:rsid w:val="00A17661"/>
    <w:rsid w:val="00A24B2D"/>
    <w:rsid w:val="00A30AF1"/>
    <w:rsid w:val="00A40966"/>
    <w:rsid w:val="00A51560"/>
    <w:rsid w:val="00A617C7"/>
    <w:rsid w:val="00A921E0"/>
    <w:rsid w:val="00B0738F"/>
    <w:rsid w:val="00B26601"/>
    <w:rsid w:val="00B408D7"/>
    <w:rsid w:val="00B41951"/>
    <w:rsid w:val="00B53229"/>
    <w:rsid w:val="00B62480"/>
    <w:rsid w:val="00B81B70"/>
    <w:rsid w:val="00BD0724"/>
    <w:rsid w:val="00BE0CD2"/>
    <w:rsid w:val="00BE1A80"/>
    <w:rsid w:val="00BE2771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A0346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1F13C542F49CC8F69DCE00203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336D-676B-4515-812E-9FB21BD2C708}"/>
      </w:docPartPr>
      <w:docPartBody>
        <w:p w:rsidR="00412D98" w:rsidRDefault="00412D98">
          <w:pPr>
            <w:pStyle w:val="1431F13C542F49CC8F69DCE00203DA6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8"/>
    <w:rsid w:val="00412D98"/>
    <w:rsid w:val="00C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E612245F-F38D-49C0-9C37-8CF79F4BA4FB}"/>
</file>

<file path=customXml/itemProps2.xml><?xml version="1.0" encoding="utf-8"?>
<ds:datastoreItem xmlns:ds="http://schemas.openxmlformats.org/officeDocument/2006/customXml" ds:itemID="{10E6F399-1DF2-4C2C-BDE5-344559F57252}"/>
</file>

<file path=customXml/itemProps3.xml><?xml version="1.0" encoding="utf-8"?>
<ds:datastoreItem xmlns:ds="http://schemas.openxmlformats.org/officeDocument/2006/customXml" ds:itemID="{F5FF8A0C-882C-4C9A-B849-EBB8A711E9A1}"/>
</file>

<file path=customXml/itemProps4.xml><?xml version="1.0" encoding="utf-8"?>
<ds:datastoreItem xmlns:ds="http://schemas.openxmlformats.org/officeDocument/2006/customXml" ds:itemID="{7940FE7E-4534-43F8-BBD5-342C3BC5E711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Physics: Unit 3 Outcome 3 Performance descriptors</vt:lpstr>
    </vt:vector>
  </TitlesOfParts>
  <Company>Victorian Curriculum and Assessment Authority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Physics: Unit 3 Outcome 3 Performance descriptors</dc:title>
  <dc:subject>Physics</dc:subject>
  <dc:creator>Coleman, Julie J</dc:creator>
  <cp:keywords>physics, outcome, performance, descriptors, coursework, marking, scale</cp:keywords>
  <cp:lastModifiedBy>Coleman, Julie J</cp:lastModifiedBy>
  <cp:revision>4</cp:revision>
  <cp:lastPrinted>2015-05-15T02:35:00Z</cp:lastPrinted>
  <dcterms:created xsi:type="dcterms:W3CDTF">2017-01-17T23:29:00Z</dcterms:created>
  <dcterms:modified xsi:type="dcterms:W3CDTF">2017-01-17T23:57:00Z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