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C" w:rsidRPr="003D5149" w:rsidRDefault="003D5149" w:rsidP="001F32EA">
      <w:pPr>
        <w:pStyle w:val="VCAADocumenttitle"/>
        <w:spacing w:before="120" w:after="240"/>
        <w:rPr>
          <w:sz w:val="44"/>
          <w:szCs w:val="44"/>
        </w:rPr>
      </w:pPr>
      <w:r w:rsidRPr="003D5149">
        <w:rPr>
          <w:sz w:val="44"/>
          <w:szCs w:val="44"/>
        </w:rPr>
        <w:t xml:space="preserve">VCE </w:t>
      </w:r>
      <w:r w:rsidR="0023725E">
        <w:rPr>
          <w:sz w:val="44"/>
          <w:szCs w:val="44"/>
        </w:rPr>
        <w:t>Psychology</w:t>
      </w:r>
      <w:r w:rsidRPr="003D5149">
        <w:rPr>
          <w:sz w:val="44"/>
          <w:szCs w:val="44"/>
        </w:rPr>
        <w:t>: 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575"/>
        <w:gridCol w:w="2576"/>
        <w:gridCol w:w="2575"/>
        <w:gridCol w:w="2576"/>
        <w:gridCol w:w="2577"/>
      </w:tblGrid>
      <w:tr w:rsidR="003D5149" w:rsidTr="003D5149">
        <w:tc>
          <w:tcPr>
            <w:tcW w:w="14788" w:type="dxa"/>
            <w:gridSpan w:val="6"/>
            <w:shd w:val="clear" w:color="auto" w:fill="DCE4F0" w:themeFill="accent6" w:themeFillTint="33"/>
            <w:vAlign w:val="center"/>
          </w:tcPr>
          <w:p w:rsidR="003D5149" w:rsidRPr="00547BDF" w:rsidRDefault="0023725E" w:rsidP="00BF6035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PSYCHOLOGY</w:t>
            </w:r>
          </w:p>
          <w:p w:rsidR="003D5149" w:rsidRDefault="003D5149" w:rsidP="00BF6035">
            <w:pPr>
              <w:spacing w:after="120"/>
              <w:jc w:val="center"/>
            </w:pPr>
            <w:r w:rsidRPr="006B6A95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3D5149" w:rsidTr="003D5149">
        <w:tc>
          <w:tcPr>
            <w:tcW w:w="14788" w:type="dxa"/>
            <w:gridSpan w:val="6"/>
            <w:tcBorders>
              <w:bottom w:val="single" w:sz="4" w:space="0" w:color="auto"/>
            </w:tcBorders>
            <w:vAlign w:val="center"/>
          </w:tcPr>
          <w:p w:rsidR="003D5149" w:rsidRDefault="003D5149" w:rsidP="00BF6035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>Performance descriptors</w:t>
            </w:r>
          </w:p>
        </w:tc>
      </w:tr>
      <w:tr w:rsidR="003D5149" w:rsidRPr="006770E6" w:rsidTr="003D5149">
        <w:tc>
          <w:tcPr>
            <w:tcW w:w="14788" w:type="dxa"/>
            <w:gridSpan w:val="6"/>
            <w:tcBorders>
              <w:left w:val="nil"/>
              <w:right w:val="nil"/>
            </w:tcBorders>
          </w:tcPr>
          <w:p w:rsidR="003D5149" w:rsidRPr="006770E6" w:rsidRDefault="003D5149" w:rsidP="00BF6035">
            <w:pPr>
              <w:rPr>
                <w:sz w:val="12"/>
                <w:szCs w:val="12"/>
              </w:rPr>
            </w:pPr>
          </w:p>
        </w:tc>
      </w:tr>
      <w:tr w:rsidR="00D66134" w:rsidTr="003D5149">
        <w:tc>
          <w:tcPr>
            <w:tcW w:w="1909" w:type="dxa"/>
            <w:vMerge w:val="restart"/>
            <w:vAlign w:val="center"/>
          </w:tcPr>
          <w:p w:rsidR="00D66134" w:rsidRPr="0052614A" w:rsidRDefault="00D66134" w:rsidP="00BF6035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4</w:t>
            </w:r>
          </w:p>
          <w:p w:rsidR="00D66134" w:rsidRPr="0052614A" w:rsidRDefault="00D66134" w:rsidP="00BF6035">
            <w:pPr>
              <w:spacing w:after="120"/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2</w:t>
            </w:r>
          </w:p>
          <w:p w:rsidR="00D66134" w:rsidRPr="00EB20E2" w:rsidRDefault="00D66134" w:rsidP="00BF6035">
            <w:pPr>
              <w:spacing w:before="120" w:after="120"/>
              <w:rPr>
                <w:rFonts w:ascii="Arial Narrow" w:hAnsi="Arial Narrow"/>
              </w:rPr>
            </w:pPr>
            <w:r w:rsidRPr="00B17A66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Explain the concepts of mental health and mental illness including influences of risk and protective factors, apply a </w:t>
            </w:r>
            <w:proofErr w:type="spellStart"/>
            <w:r w:rsidRPr="00B17A66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biopsychosocial</w:t>
            </w:r>
            <w:proofErr w:type="spellEnd"/>
            <w:r w:rsidRPr="00B17A66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 approach to explain the development and management of specific phobia, and explain the psychological basis of strategies that contribute to mental wellbeing.</w:t>
            </w:r>
          </w:p>
        </w:tc>
        <w:tc>
          <w:tcPr>
            <w:tcW w:w="12879" w:type="dxa"/>
            <w:gridSpan w:val="5"/>
            <w:vAlign w:val="center"/>
          </w:tcPr>
          <w:p w:rsidR="00D66134" w:rsidRPr="00EB20E2" w:rsidRDefault="00D66134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EB20E2">
              <w:rPr>
                <w:rFonts w:ascii="Arial Narrow" w:eastAsia="Calibri" w:hAnsi="Arial Narrow"/>
                <w:b/>
                <w:lang w:val="en-AU"/>
              </w:rPr>
              <w:t>DESCRIPTOR: typical performance in each range</w:t>
            </w:r>
          </w:p>
        </w:tc>
      </w:tr>
      <w:tr w:rsidR="00D66134" w:rsidTr="003D5149">
        <w:tc>
          <w:tcPr>
            <w:tcW w:w="1909" w:type="dxa"/>
            <w:vMerge/>
            <w:vAlign w:val="center"/>
          </w:tcPr>
          <w:p w:rsidR="00D66134" w:rsidRDefault="00D66134" w:rsidP="00BF6035">
            <w:pPr>
              <w:spacing w:before="120" w:after="120"/>
            </w:pPr>
          </w:p>
        </w:tc>
        <w:tc>
          <w:tcPr>
            <w:tcW w:w="2575" w:type="dxa"/>
            <w:vAlign w:val="center"/>
          </w:tcPr>
          <w:p w:rsidR="00D66134" w:rsidRPr="0052614A" w:rsidRDefault="00D66134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76" w:type="dxa"/>
            <w:vAlign w:val="center"/>
          </w:tcPr>
          <w:p w:rsidR="00D66134" w:rsidRPr="0052614A" w:rsidRDefault="00D66134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75" w:type="dxa"/>
            <w:vAlign w:val="center"/>
          </w:tcPr>
          <w:p w:rsidR="00D66134" w:rsidRPr="0052614A" w:rsidRDefault="00D66134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576" w:type="dxa"/>
            <w:vAlign w:val="center"/>
          </w:tcPr>
          <w:p w:rsidR="00D66134" w:rsidRPr="0052614A" w:rsidRDefault="00D66134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77" w:type="dxa"/>
            <w:vAlign w:val="center"/>
          </w:tcPr>
          <w:p w:rsidR="00D66134" w:rsidRPr="0052614A" w:rsidRDefault="00D66134" w:rsidP="00BF6035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D66134" w:rsidTr="003D5149">
        <w:tc>
          <w:tcPr>
            <w:tcW w:w="1909" w:type="dxa"/>
            <w:vMerge/>
            <w:vAlign w:val="center"/>
          </w:tcPr>
          <w:p w:rsidR="00D66134" w:rsidRDefault="00D66134" w:rsidP="00BF6035"/>
        </w:tc>
        <w:tc>
          <w:tcPr>
            <w:tcW w:w="2575" w:type="dxa"/>
          </w:tcPr>
          <w:p w:rsidR="00D66134" w:rsidRPr="00D66134" w:rsidRDefault="00D66134" w:rsidP="00743C3E">
            <w:pPr>
              <w:spacing w:before="120" w:after="120"/>
              <w:rPr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>Limited description of mental health as a continuum influenced by internal and external factors that can fluctuate over time.</w:t>
            </w:r>
          </w:p>
        </w:tc>
        <w:tc>
          <w:tcPr>
            <w:tcW w:w="2576" w:type="dxa"/>
          </w:tcPr>
          <w:p w:rsidR="00D66134" w:rsidRPr="00D66134" w:rsidRDefault="00D66134" w:rsidP="00743C3E">
            <w:pPr>
              <w:spacing w:before="120" w:after="120"/>
              <w:rPr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>Some explanation of mental health as a continuum influenced by internal and external factors that can fluctuate over time.</w:t>
            </w:r>
          </w:p>
        </w:tc>
        <w:tc>
          <w:tcPr>
            <w:tcW w:w="2575" w:type="dxa"/>
          </w:tcPr>
          <w:p w:rsidR="00D66134" w:rsidRPr="00D66134" w:rsidRDefault="00D66134" w:rsidP="00743C3E">
            <w:pPr>
              <w:spacing w:before="120" w:after="120"/>
              <w:rPr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>Sound explanation of mental health as a continuum influenced by internal and external factors that can fluctuate over time.</w:t>
            </w:r>
          </w:p>
        </w:tc>
        <w:tc>
          <w:tcPr>
            <w:tcW w:w="2576" w:type="dxa"/>
          </w:tcPr>
          <w:p w:rsidR="00D66134" w:rsidRPr="00D66134" w:rsidRDefault="00D66134" w:rsidP="00743C3E">
            <w:pPr>
              <w:spacing w:before="120" w:after="120"/>
              <w:rPr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>Well-considered explanation of mental health as a continuum influenced by internal and external factors that can fluctuate over time.</w:t>
            </w:r>
          </w:p>
        </w:tc>
        <w:tc>
          <w:tcPr>
            <w:tcW w:w="2577" w:type="dxa"/>
          </w:tcPr>
          <w:p w:rsidR="00D66134" w:rsidRPr="00D66134" w:rsidRDefault="00D66134" w:rsidP="00743C3E">
            <w:pPr>
              <w:spacing w:before="120" w:after="120"/>
              <w:rPr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>Sophisticated analysis and explanation of mental health as a continuum influenced by internal and external factors that can fluctuate over time.</w:t>
            </w:r>
          </w:p>
        </w:tc>
      </w:tr>
      <w:tr w:rsidR="00D66134" w:rsidTr="003D5149">
        <w:tc>
          <w:tcPr>
            <w:tcW w:w="1909" w:type="dxa"/>
            <w:vMerge/>
          </w:tcPr>
          <w:p w:rsidR="00D66134" w:rsidRDefault="00D66134" w:rsidP="00BF6035"/>
        </w:tc>
        <w:tc>
          <w:tcPr>
            <w:tcW w:w="2575" w:type="dxa"/>
          </w:tcPr>
          <w:p w:rsidR="00D66134" w:rsidRPr="00D66134" w:rsidRDefault="00D66134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>Very limited description of the management of risk factors and use of protective factors in the development, progression and management of mental health disorders.</w:t>
            </w:r>
          </w:p>
        </w:tc>
        <w:tc>
          <w:tcPr>
            <w:tcW w:w="2576" w:type="dxa"/>
          </w:tcPr>
          <w:p w:rsidR="00D66134" w:rsidRPr="00D66134" w:rsidRDefault="00D66134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>Limited analysis and discussion of the management of risk factors and use of protective factors in the development, progression and management of mental health disorders.</w:t>
            </w:r>
          </w:p>
        </w:tc>
        <w:tc>
          <w:tcPr>
            <w:tcW w:w="2575" w:type="dxa"/>
          </w:tcPr>
          <w:p w:rsidR="00D66134" w:rsidRPr="00D66134" w:rsidRDefault="00D66134" w:rsidP="00743C3E">
            <w:pPr>
              <w:spacing w:before="120" w:after="120"/>
              <w:rPr>
                <w:color w:val="C00000"/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>Relevant analysis and discussion of the management of risk factors and use of protective factors in the development, progression and management of mental health disorders.</w:t>
            </w:r>
          </w:p>
        </w:tc>
        <w:tc>
          <w:tcPr>
            <w:tcW w:w="2576" w:type="dxa"/>
          </w:tcPr>
          <w:p w:rsidR="00D66134" w:rsidRPr="00D66134" w:rsidRDefault="00D66134" w:rsidP="00743C3E">
            <w:pPr>
              <w:spacing w:before="120" w:after="120"/>
              <w:rPr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>Well-articulated analysis and discussion of the management of risk factors and use of protective factors in the development, progression and management of mental health disorders.</w:t>
            </w:r>
          </w:p>
        </w:tc>
        <w:tc>
          <w:tcPr>
            <w:tcW w:w="2577" w:type="dxa"/>
          </w:tcPr>
          <w:p w:rsidR="00D66134" w:rsidRPr="00D66134" w:rsidRDefault="00D66134" w:rsidP="00743C3E">
            <w:pPr>
              <w:spacing w:before="120" w:after="120"/>
              <w:rPr>
                <w:rFonts w:eastAsia="Calibri" w:cs="Arial"/>
                <w:color w:val="864704" w:themeColor="accent5" w:themeShade="80"/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>Integrated and insightful analysis and discussion of the management of risk factors and use of protective factors in the development, progression and management of mental health disorders.</w:t>
            </w:r>
          </w:p>
        </w:tc>
      </w:tr>
      <w:tr w:rsidR="00D66134" w:rsidTr="003D5149">
        <w:tc>
          <w:tcPr>
            <w:tcW w:w="1909" w:type="dxa"/>
            <w:vMerge/>
          </w:tcPr>
          <w:p w:rsidR="00D66134" w:rsidRDefault="00D66134" w:rsidP="00BF6035"/>
        </w:tc>
        <w:tc>
          <w:tcPr>
            <w:tcW w:w="2575" w:type="dxa"/>
          </w:tcPr>
          <w:p w:rsidR="00D66134" w:rsidRPr="00D66134" w:rsidRDefault="00D66134" w:rsidP="00743C3E">
            <w:pPr>
              <w:spacing w:before="120" w:after="120"/>
              <w:rPr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 xml:space="preserve">Very limited use of a </w:t>
            </w:r>
            <w:proofErr w:type="spellStart"/>
            <w:r w:rsidRPr="00D66134">
              <w:rPr>
                <w:rFonts w:eastAsia="Calibri" w:cs="Arial"/>
                <w:sz w:val="18"/>
                <w:szCs w:val="18"/>
              </w:rPr>
              <w:t>biopsychosocial</w:t>
            </w:r>
            <w:proofErr w:type="spellEnd"/>
            <w:r w:rsidRPr="00D66134">
              <w:rPr>
                <w:rFonts w:eastAsia="Calibri" w:cs="Arial"/>
                <w:sz w:val="18"/>
                <w:szCs w:val="18"/>
              </w:rPr>
              <w:t xml:space="preserve"> approach to explain the development and management of specific phobia.</w:t>
            </w:r>
          </w:p>
        </w:tc>
        <w:tc>
          <w:tcPr>
            <w:tcW w:w="2576" w:type="dxa"/>
          </w:tcPr>
          <w:p w:rsidR="00D66134" w:rsidRPr="00D66134" w:rsidRDefault="00D66134" w:rsidP="00743C3E">
            <w:pPr>
              <w:spacing w:before="120" w:after="120"/>
              <w:rPr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 xml:space="preserve">Limited use of a </w:t>
            </w:r>
            <w:proofErr w:type="spellStart"/>
            <w:r w:rsidRPr="00D66134">
              <w:rPr>
                <w:rFonts w:eastAsia="Calibri" w:cs="Arial"/>
                <w:sz w:val="18"/>
                <w:szCs w:val="18"/>
              </w:rPr>
              <w:t>biopsychosocial</w:t>
            </w:r>
            <w:proofErr w:type="spellEnd"/>
            <w:r w:rsidRPr="00D66134">
              <w:rPr>
                <w:rFonts w:eastAsia="Calibri" w:cs="Arial"/>
                <w:sz w:val="18"/>
                <w:szCs w:val="18"/>
              </w:rPr>
              <w:t xml:space="preserve"> approach to explain the development and management of specific phobia.</w:t>
            </w:r>
          </w:p>
        </w:tc>
        <w:tc>
          <w:tcPr>
            <w:tcW w:w="2575" w:type="dxa"/>
          </w:tcPr>
          <w:p w:rsidR="00D66134" w:rsidRPr="00D66134" w:rsidRDefault="00D66134" w:rsidP="00743C3E">
            <w:pPr>
              <w:spacing w:before="120" w:after="120"/>
              <w:rPr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 xml:space="preserve">Appropriate use of a </w:t>
            </w:r>
            <w:proofErr w:type="spellStart"/>
            <w:r w:rsidRPr="00D66134">
              <w:rPr>
                <w:rFonts w:eastAsia="Calibri" w:cs="Arial"/>
                <w:sz w:val="18"/>
                <w:szCs w:val="18"/>
              </w:rPr>
              <w:t>biopsychosocial</w:t>
            </w:r>
            <w:proofErr w:type="spellEnd"/>
            <w:r w:rsidRPr="00D66134">
              <w:rPr>
                <w:rFonts w:eastAsia="Calibri" w:cs="Arial"/>
                <w:sz w:val="18"/>
                <w:szCs w:val="18"/>
              </w:rPr>
              <w:t xml:space="preserve"> approach to explain the development and management of specific phobia.</w:t>
            </w:r>
          </w:p>
        </w:tc>
        <w:tc>
          <w:tcPr>
            <w:tcW w:w="2576" w:type="dxa"/>
          </w:tcPr>
          <w:p w:rsidR="00D66134" w:rsidRPr="00D66134" w:rsidRDefault="00D66134" w:rsidP="00743C3E">
            <w:pPr>
              <w:spacing w:before="120" w:after="120"/>
              <w:rPr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 xml:space="preserve">Effective use of a </w:t>
            </w:r>
            <w:proofErr w:type="spellStart"/>
            <w:r w:rsidRPr="00D66134">
              <w:rPr>
                <w:rFonts w:eastAsia="Calibri" w:cs="Arial"/>
                <w:sz w:val="18"/>
                <w:szCs w:val="18"/>
              </w:rPr>
              <w:t>biopsychosocial</w:t>
            </w:r>
            <w:proofErr w:type="spellEnd"/>
            <w:r w:rsidRPr="00D66134">
              <w:rPr>
                <w:rFonts w:eastAsia="Calibri" w:cs="Arial"/>
                <w:sz w:val="18"/>
                <w:szCs w:val="18"/>
              </w:rPr>
              <w:t xml:space="preserve"> approach to explain the development and management of specific phobia.</w:t>
            </w:r>
          </w:p>
        </w:tc>
        <w:tc>
          <w:tcPr>
            <w:tcW w:w="2577" w:type="dxa"/>
          </w:tcPr>
          <w:p w:rsidR="00D66134" w:rsidRPr="00D66134" w:rsidRDefault="00D66134" w:rsidP="00743C3E">
            <w:pPr>
              <w:spacing w:before="120" w:after="120"/>
              <w:rPr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 xml:space="preserve">Comprehensive use of a </w:t>
            </w:r>
            <w:proofErr w:type="spellStart"/>
            <w:r w:rsidRPr="00D66134">
              <w:rPr>
                <w:rFonts w:eastAsia="Calibri" w:cs="Arial"/>
                <w:sz w:val="18"/>
                <w:szCs w:val="18"/>
              </w:rPr>
              <w:t>biopsychosocial</w:t>
            </w:r>
            <w:proofErr w:type="spellEnd"/>
            <w:r w:rsidRPr="00D66134">
              <w:rPr>
                <w:rFonts w:eastAsia="Calibri" w:cs="Arial"/>
                <w:sz w:val="18"/>
                <w:szCs w:val="18"/>
              </w:rPr>
              <w:t xml:space="preserve"> approach to explain the development and management of specific phobia.</w:t>
            </w:r>
          </w:p>
        </w:tc>
      </w:tr>
      <w:tr w:rsidR="00D66134" w:rsidTr="003D5149">
        <w:tc>
          <w:tcPr>
            <w:tcW w:w="1909" w:type="dxa"/>
            <w:vMerge/>
          </w:tcPr>
          <w:p w:rsidR="00D66134" w:rsidRDefault="00D66134" w:rsidP="00BF6035"/>
        </w:tc>
        <w:tc>
          <w:tcPr>
            <w:tcW w:w="2575" w:type="dxa"/>
          </w:tcPr>
          <w:p w:rsidR="00D66134" w:rsidRPr="00D66134" w:rsidRDefault="00D66134" w:rsidP="00743C3E">
            <w:pPr>
              <w:spacing w:before="120" w:after="120"/>
              <w:rPr>
                <w:b/>
                <w:color w:val="864704" w:themeColor="accent5" w:themeShade="80"/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>Very limited discussion of the psychological basis of strategies that contribute to mental well-being.</w:t>
            </w:r>
          </w:p>
        </w:tc>
        <w:tc>
          <w:tcPr>
            <w:tcW w:w="2576" w:type="dxa"/>
          </w:tcPr>
          <w:p w:rsidR="00D66134" w:rsidRPr="00D66134" w:rsidRDefault="00D66134" w:rsidP="00743C3E">
            <w:pPr>
              <w:spacing w:before="120" w:after="120"/>
              <w:rPr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>Limited discussion of the psychological basis of strategies that contribute to mental well-being.</w:t>
            </w:r>
          </w:p>
        </w:tc>
        <w:tc>
          <w:tcPr>
            <w:tcW w:w="2575" w:type="dxa"/>
          </w:tcPr>
          <w:p w:rsidR="00D66134" w:rsidRPr="00D66134" w:rsidRDefault="00D66134" w:rsidP="00743C3E">
            <w:pPr>
              <w:spacing w:before="120" w:after="120"/>
              <w:rPr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>Relevant discussion of the psychological basis of strategies that contribute to mental well-being.</w:t>
            </w:r>
          </w:p>
        </w:tc>
        <w:tc>
          <w:tcPr>
            <w:tcW w:w="2576" w:type="dxa"/>
          </w:tcPr>
          <w:p w:rsidR="00D66134" w:rsidRPr="00D66134" w:rsidRDefault="00D66134" w:rsidP="00743C3E">
            <w:pPr>
              <w:spacing w:before="120" w:after="120"/>
              <w:rPr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>Well-argued discussion of the psychological basis of strategies that contribute to mental well-being.</w:t>
            </w:r>
          </w:p>
        </w:tc>
        <w:tc>
          <w:tcPr>
            <w:tcW w:w="2577" w:type="dxa"/>
          </w:tcPr>
          <w:p w:rsidR="00D66134" w:rsidRPr="00D66134" w:rsidRDefault="00D66134" w:rsidP="00743C3E">
            <w:pPr>
              <w:spacing w:before="120" w:after="120"/>
              <w:rPr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>Insightful and integrated discussion of the psychological basis of strategies that contribute to mental well-being.</w:t>
            </w:r>
          </w:p>
        </w:tc>
      </w:tr>
    </w:tbl>
    <w:p w:rsidR="00D66134" w:rsidRDefault="00D66134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575"/>
        <w:gridCol w:w="2576"/>
        <w:gridCol w:w="2575"/>
        <w:gridCol w:w="2576"/>
        <w:gridCol w:w="2577"/>
      </w:tblGrid>
      <w:tr w:rsidR="00D66134" w:rsidTr="003D5149">
        <w:tc>
          <w:tcPr>
            <w:tcW w:w="1909" w:type="dxa"/>
            <w:vMerge w:val="restart"/>
          </w:tcPr>
          <w:p w:rsidR="00D66134" w:rsidRDefault="00D66134" w:rsidP="00BF6035"/>
        </w:tc>
        <w:tc>
          <w:tcPr>
            <w:tcW w:w="2575" w:type="dxa"/>
          </w:tcPr>
          <w:p w:rsidR="00D66134" w:rsidRPr="00D66134" w:rsidRDefault="00D66134" w:rsidP="00743C3E">
            <w:pPr>
              <w:spacing w:before="120" w:after="120"/>
              <w:rPr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>Very limited understanding of the use of models in explaining psychological phenomena.</w:t>
            </w:r>
          </w:p>
        </w:tc>
        <w:tc>
          <w:tcPr>
            <w:tcW w:w="2576" w:type="dxa"/>
          </w:tcPr>
          <w:p w:rsidR="00D66134" w:rsidRPr="00D66134" w:rsidRDefault="00D66134" w:rsidP="00743C3E">
            <w:pPr>
              <w:spacing w:before="120" w:after="120"/>
              <w:rPr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>Limited understanding of the use of models in explaining psychological phenomena.</w:t>
            </w:r>
          </w:p>
        </w:tc>
        <w:tc>
          <w:tcPr>
            <w:tcW w:w="2575" w:type="dxa"/>
          </w:tcPr>
          <w:p w:rsidR="00D66134" w:rsidRPr="00D66134" w:rsidRDefault="00D66134" w:rsidP="00743C3E">
            <w:pPr>
              <w:spacing w:before="120" w:after="120"/>
              <w:rPr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>Satisfactory understanding of the usefulness and limitations of models in explaining psychological phenomena.</w:t>
            </w:r>
          </w:p>
        </w:tc>
        <w:tc>
          <w:tcPr>
            <w:tcW w:w="2576" w:type="dxa"/>
          </w:tcPr>
          <w:p w:rsidR="00D66134" w:rsidRPr="00D66134" w:rsidRDefault="00D66134" w:rsidP="00743C3E">
            <w:pPr>
              <w:spacing w:before="120" w:after="120"/>
              <w:rPr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>Thorough understanding of the usefulness and limitations of models in explaining psychological phenomena.</w:t>
            </w:r>
          </w:p>
        </w:tc>
        <w:tc>
          <w:tcPr>
            <w:tcW w:w="2577" w:type="dxa"/>
          </w:tcPr>
          <w:p w:rsidR="00D66134" w:rsidRPr="00D66134" w:rsidRDefault="00D66134" w:rsidP="00743C3E">
            <w:pPr>
              <w:spacing w:before="120" w:after="120"/>
              <w:rPr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>Sophisticated understanding of the usefulness and limitations of models in explaining psychological phenomena.</w:t>
            </w:r>
          </w:p>
        </w:tc>
      </w:tr>
      <w:tr w:rsidR="00D66134" w:rsidTr="003D5149">
        <w:tc>
          <w:tcPr>
            <w:tcW w:w="1909" w:type="dxa"/>
            <w:vMerge/>
          </w:tcPr>
          <w:p w:rsidR="00D66134" w:rsidRDefault="00D66134" w:rsidP="00BF6035"/>
        </w:tc>
        <w:tc>
          <w:tcPr>
            <w:tcW w:w="2575" w:type="dxa"/>
          </w:tcPr>
          <w:p w:rsidR="00D66134" w:rsidRPr="00D66134" w:rsidRDefault="00D66134" w:rsidP="00743C3E">
            <w:pPr>
              <w:spacing w:before="120" w:after="120"/>
              <w:rPr>
                <w:rFonts w:eastAsia="Calibri" w:cs="Arial"/>
                <w:color w:val="864704" w:themeColor="accent5" w:themeShade="80"/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>Very limited use of psychological terminology, representations, conventions and scientific data.</w:t>
            </w:r>
          </w:p>
        </w:tc>
        <w:tc>
          <w:tcPr>
            <w:tcW w:w="2576" w:type="dxa"/>
          </w:tcPr>
          <w:p w:rsidR="00D66134" w:rsidRPr="00D66134" w:rsidRDefault="00D66134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 xml:space="preserve">Some appropriate use of psychological terminology, representations, conventions and scientific data. </w:t>
            </w:r>
          </w:p>
        </w:tc>
        <w:tc>
          <w:tcPr>
            <w:tcW w:w="2575" w:type="dxa"/>
          </w:tcPr>
          <w:p w:rsidR="00D66134" w:rsidRPr="00D66134" w:rsidRDefault="00D66134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 xml:space="preserve">Satisfactory use of most psychological terminology, representations, conventions and scientific data. </w:t>
            </w:r>
          </w:p>
        </w:tc>
        <w:tc>
          <w:tcPr>
            <w:tcW w:w="2576" w:type="dxa"/>
          </w:tcPr>
          <w:p w:rsidR="00D66134" w:rsidRPr="00D66134" w:rsidRDefault="00D66134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>Effective and appropriate use of psychological terminology, representations, conventions and scientific data.</w:t>
            </w:r>
          </w:p>
        </w:tc>
        <w:tc>
          <w:tcPr>
            <w:tcW w:w="2577" w:type="dxa"/>
          </w:tcPr>
          <w:p w:rsidR="00D66134" w:rsidRPr="00D66134" w:rsidRDefault="00D66134" w:rsidP="00743C3E">
            <w:pPr>
              <w:spacing w:before="120" w:after="120"/>
              <w:rPr>
                <w:rFonts w:eastAsia="Calibri" w:cs="Arial"/>
                <w:sz w:val="18"/>
                <w:szCs w:val="18"/>
              </w:rPr>
            </w:pPr>
            <w:r w:rsidRPr="00D66134">
              <w:rPr>
                <w:rFonts w:eastAsia="Calibri" w:cs="Arial"/>
                <w:sz w:val="18"/>
                <w:szCs w:val="18"/>
              </w:rPr>
              <w:t xml:space="preserve">Proficient, complete and appropriate use of psychological terminology, representations, conventions and scientific data. </w:t>
            </w:r>
          </w:p>
        </w:tc>
      </w:tr>
    </w:tbl>
    <w:p w:rsidR="003D5149" w:rsidRPr="003D5149" w:rsidRDefault="003D5149" w:rsidP="001F32EA">
      <w:pPr>
        <w:spacing w:before="240" w:after="120"/>
        <w:rPr>
          <w:sz w:val="18"/>
          <w:szCs w:val="18"/>
        </w:rPr>
      </w:pPr>
      <w:r w:rsidRPr="003D5149">
        <w:rPr>
          <w:sz w:val="18"/>
          <w:szCs w:val="18"/>
        </w:rPr>
        <w:t xml:space="preserve">KEY to marking scale based on the outcome contributing </w:t>
      </w:r>
      <w:r w:rsidR="003A3171">
        <w:rPr>
          <w:sz w:val="18"/>
          <w:szCs w:val="18"/>
        </w:rPr>
        <w:t>3</w:t>
      </w:r>
      <w:r w:rsidRPr="003D5149">
        <w:rPr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3A3171" w:rsidRPr="003D5149" w:rsidTr="00BF6035">
        <w:trPr>
          <w:trHeight w:val="170"/>
        </w:trPr>
        <w:tc>
          <w:tcPr>
            <w:tcW w:w="2318" w:type="dxa"/>
            <w:vAlign w:val="center"/>
          </w:tcPr>
          <w:p w:rsidR="003A3171" w:rsidRPr="003A3171" w:rsidRDefault="003A3171" w:rsidP="00743C3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A3171">
              <w:rPr>
                <w:sz w:val="18"/>
                <w:szCs w:val="18"/>
              </w:rPr>
              <w:t>Very Low 1–6</w:t>
            </w:r>
          </w:p>
        </w:tc>
        <w:tc>
          <w:tcPr>
            <w:tcW w:w="2318" w:type="dxa"/>
            <w:vAlign w:val="center"/>
          </w:tcPr>
          <w:p w:rsidR="003A3171" w:rsidRPr="003A3171" w:rsidRDefault="003A3171" w:rsidP="00743C3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A3171">
              <w:rPr>
                <w:sz w:val="18"/>
                <w:szCs w:val="18"/>
              </w:rPr>
              <w:t>Low 7–12</w:t>
            </w:r>
          </w:p>
        </w:tc>
        <w:tc>
          <w:tcPr>
            <w:tcW w:w="2318" w:type="dxa"/>
            <w:vAlign w:val="center"/>
          </w:tcPr>
          <w:p w:rsidR="003A3171" w:rsidRPr="003A3171" w:rsidRDefault="003A3171" w:rsidP="00743C3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A3171">
              <w:rPr>
                <w:sz w:val="18"/>
                <w:szCs w:val="18"/>
              </w:rPr>
              <w:t>Medium 13–18</w:t>
            </w:r>
          </w:p>
        </w:tc>
        <w:tc>
          <w:tcPr>
            <w:tcW w:w="2318" w:type="dxa"/>
            <w:vAlign w:val="center"/>
          </w:tcPr>
          <w:p w:rsidR="003A3171" w:rsidRPr="003A3171" w:rsidRDefault="003A3171" w:rsidP="00743C3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A3171">
              <w:rPr>
                <w:sz w:val="18"/>
                <w:szCs w:val="18"/>
              </w:rPr>
              <w:t>High 19–24</w:t>
            </w:r>
          </w:p>
        </w:tc>
        <w:tc>
          <w:tcPr>
            <w:tcW w:w="2318" w:type="dxa"/>
            <w:vAlign w:val="center"/>
          </w:tcPr>
          <w:p w:rsidR="003A3171" w:rsidRPr="003A3171" w:rsidRDefault="003A3171" w:rsidP="00743C3E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A3171">
              <w:rPr>
                <w:sz w:val="18"/>
                <w:szCs w:val="18"/>
              </w:rPr>
              <w:t>Very High 25–30</w:t>
            </w:r>
          </w:p>
        </w:tc>
      </w:tr>
    </w:tbl>
    <w:p w:rsidR="00D3388E" w:rsidRDefault="00D3388E" w:rsidP="00D3388E"/>
    <w:sectPr w:rsidR="00D3388E" w:rsidSect="00D3388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134" w:right="1134" w:bottom="1134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49" w:rsidRDefault="003D5149" w:rsidP="00304EA1">
      <w:pPr>
        <w:spacing w:after="0" w:line="240" w:lineRule="auto"/>
      </w:pPr>
      <w:r>
        <w:separator/>
      </w:r>
    </w:p>
  </w:endnote>
  <w:endnote w:type="continuationSeparator" w:id="0">
    <w:p w:rsidR="003D5149" w:rsidRDefault="003D514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8B" w:rsidRPr="00243F0D" w:rsidRDefault="00D3388E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3D5149"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D66134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8B" w:rsidRDefault="00D3388E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Pr="00970580">
      <w:t xml:space="preserve"> </w:t>
    </w:r>
    <w:r w:rsidR="003D5149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A633EE7" wp14:editId="6C70DEB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49" w:rsidRDefault="003D5149" w:rsidP="00304EA1">
      <w:pPr>
        <w:spacing w:after="0" w:line="240" w:lineRule="auto"/>
      </w:pPr>
      <w:r>
        <w:separator/>
      </w:r>
    </w:p>
  </w:footnote>
  <w:footnote w:type="continuationSeparator" w:id="0">
    <w:p w:rsidR="003D5149" w:rsidRDefault="003D514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1431F13C542F49CC8F69DCE00203DA6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94A8B" w:rsidRPr="00D86DE4" w:rsidRDefault="003D5149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 xml:space="preserve">VCE </w:t>
        </w:r>
        <w:r w:rsidR="0023725E">
          <w:rPr>
            <w:color w:val="999999" w:themeColor="accent2"/>
            <w:lang w:val="en-AU"/>
          </w:rPr>
          <w:t>Psychology</w:t>
        </w:r>
        <w:r>
          <w:rPr>
            <w:color w:val="999999" w:themeColor="accent2"/>
            <w:lang w:val="en-AU"/>
          </w:rPr>
          <w:t xml:space="preserve">: </w:t>
        </w:r>
        <w:r w:rsidR="001F32EA">
          <w:rPr>
            <w:color w:val="999999" w:themeColor="accent2"/>
            <w:lang w:val="en-AU"/>
          </w:rPr>
          <w:t xml:space="preserve">Unit </w:t>
        </w:r>
        <w:r w:rsidR="003A3171">
          <w:rPr>
            <w:color w:val="999999" w:themeColor="accent2"/>
            <w:lang w:val="en-AU"/>
          </w:rPr>
          <w:t>4</w:t>
        </w:r>
        <w:r w:rsidR="001F32EA">
          <w:rPr>
            <w:color w:val="999999" w:themeColor="accent2"/>
            <w:lang w:val="en-AU"/>
          </w:rPr>
          <w:t xml:space="preserve"> Outcome </w:t>
        </w:r>
        <w:r w:rsidR="00D66134">
          <w:rPr>
            <w:color w:val="999999" w:themeColor="accent2"/>
            <w:lang w:val="en-AU"/>
          </w:rPr>
          <w:t>2</w:t>
        </w:r>
        <w:r w:rsidR="004A6E9A">
          <w:rPr>
            <w:color w:val="999999" w:themeColor="accent2"/>
            <w:lang w:val="en-AU"/>
          </w:rPr>
          <w:t xml:space="preserve"> </w:t>
        </w:r>
        <w:r>
          <w:rPr>
            <w:color w:val="999999" w:themeColor="accent2"/>
            <w:lang w:val="en-AU"/>
          </w:rPr>
          <w:t>Performance descriptors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A8B" w:rsidRPr="009370BC" w:rsidRDefault="00D3388E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2AED3A" wp14:editId="6DDB8AA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9"/>
    <w:rsid w:val="00027228"/>
    <w:rsid w:val="0005780E"/>
    <w:rsid w:val="000A71F7"/>
    <w:rsid w:val="000F09E4"/>
    <w:rsid w:val="000F16FD"/>
    <w:rsid w:val="00164D7A"/>
    <w:rsid w:val="001675CF"/>
    <w:rsid w:val="00180973"/>
    <w:rsid w:val="001E5ED4"/>
    <w:rsid w:val="001F32EA"/>
    <w:rsid w:val="002233AF"/>
    <w:rsid w:val="002279BA"/>
    <w:rsid w:val="002329F3"/>
    <w:rsid w:val="0023725E"/>
    <w:rsid w:val="00243F0D"/>
    <w:rsid w:val="002647BB"/>
    <w:rsid w:val="002754C1"/>
    <w:rsid w:val="002841C8"/>
    <w:rsid w:val="0028516B"/>
    <w:rsid w:val="002C6F90"/>
    <w:rsid w:val="002C7070"/>
    <w:rsid w:val="00302FB8"/>
    <w:rsid w:val="00304EA1"/>
    <w:rsid w:val="00314D81"/>
    <w:rsid w:val="00322FC6"/>
    <w:rsid w:val="00372723"/>
    <w:rsid w:val="00391986"/>
    <w:rsid w:val="003A3171"/>
    <w:rsid w:val="003D5149"/>
    <w:rsid w:val="00400A2A"/>
    <w:rsid w:val="00416B45"/>
    <w:rsid w:val="00417AA3"/>
    <w:rsid w:val="00440B32"/>
    <w:rsid w:val="00447BA8"/>
    <w:rsid w:val="0046078D"/>
    <w:rsid w:val="004A2ED8"/>
    <w:rsid w:val="004A6E9A"/>
    <w:rsid w:val="004E50B5"/>
    <w:rsid w:val="004F5BDA"/>
    <w:rsid w:val="0051631E"/>
    <w:rsid w:val="00536E80"/>
    <w:rsid w:val="00566029"/>
    <w:rsid w:val="005923CB"/>
    <w:rsid w:val="005B391B"/>
    <w:rsid w:val="005D3D78"/>
    <w:rsid w:val="005E2EF0"/>
    <w:rsid w:val="00656B26"/>
    <w:rsid w:val="00693FFD"/>
    <w:rsid w:val="006D2159"/>
    <w:rsid w:val="006F787C"/>
    <w:rsid w:val="00702636"/>
    <w:rsid w:val="00724507"/>
    <w:rsid w:val="00751217"/>
    <w:rsid w:val="0076106A"/>
    <w:rsid w:val="00773E6C"/>
    <w:rsid w:val="007B186E"/>
    <w:rsid w:val="00813C37"/>
    <w:rsid w:val="008154B5"/>
    <w:rsid w:val="00823962"/>
    <w:rsid w:val="00852719"/>
    <w:rsid w:val="00860115"/>
    <w:rsid w:val="0088783C"/>
    <w:rsid w:val="008D3779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66134"/>
    <w:rsid w:val="00D77413"/>
    <w:rsid w:val="00D82759"/>
    <w:rsid w:val="00D86DE4"/>
    <w:rsid w:val="00DC21C3"/>
    <w:rsid w:val="00E23F1D"/>
    <w:rsid w:val="00E36361"/>
    <w:rsid w:val="00E55AE9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D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D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1F13C542F49CC8F69DCE00203D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336D-676B-4515-812E-9FB21BD2C708}"/>
      </w:docPartPr>
      <w:docPartBody>
        <w:p w:rsidR="00412D98" w:rsidRDefault="00412D98">
          <w:pPr>
            <w:pStyle w:val="1431F13C542F49CC8F69DCE00203DA6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98"/>
    <w:rsid w:val="0041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1F13C542F49CC8F69DCE00203DA65">
    <w:name w:val="1431F13C542F49CC8F69DCE00203DA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1F13C542F49CC8F69DCE00203DA65">
    <w:name w:val="1431F13C542F49CC8F69DCE00203D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38B44B94-1379-4E2F-ABBC-549EA71D6EEA}"/>
</file>

<file path=customXml/itemProps2.xml><?xml version="1.0" encoding="utf-8"?>
<ds:datastoreItem xmlns:ds="http://schemas.openxmlformats.org/officeDocument/2006/customXml" ds:itemID="{5316FAFF-5BAD-48BD-9A51-BDB3AC15FE4A}"/>
</file>

<file path=customXml/itemProps3.xml><?xml version="1.0" encoding="utf-8"?>
<ds:datastoreItem xmlns:ds="http://schemas.openxmlformats.org/officeDocument/2006/customXml" ds:itemID="{3EF35766-8682-46E6-AA69-9C46B04914BB}"/>
</file>

<file path=customXml/itemProps4.xml><?xml version="1.0" encoding="utf-8"?>
<ds:datastoreItem xmlns:ds="http://schemas.openxmlformats.org/officeDocument/2006/customXml" ds:itemID="{5DFE2B90-BB07-4CA2-9CAA-54523879AE7C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Psychology: Unit 4 Outcome 1 Performance descriptors</vt:lpstr>
    </vt:vector>
  </TitlesOfParts>
  <Company>Victorian Curriculum and Assessment Authority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Psychology: Unit 4 Outcome 2 Performance descriptors</dc:title>
  <dc:subject>Psychology</dc:subject>
  <dc:creator/>
  <cp:keywords>psychology, outcome, performance, descriptors, coursework, marking, scale</cp:keywords>
  <cp:lastModifiedBy>Coleman, Julie J</cp:lastModifiedBy>
  <cp:revision>3</cp:revision>
  <cp:lastPrinted>2015-05-15T02:35:00Z</cp:lastPrinted>
  <dcterms:created xsi:type="dcterms:W3CDTF">2017-01-18T00:54:00Z</dcterms:created>
  <dcterms:modified xsi:type="dcterms:W3CDTF">2017-01-18T00:57:00Z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