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1A5D67">
        <w:rPr>
          <w:sz w:val="40"/>
          <w:szCs w:val="40"/>
        </w:rPr>
        <w:t>Theatre Studies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634"/>
      </w:tblGrid>
      <w:tr w:rsidR="00EC42E9" w:rsidTr="001A5D67">
        <w:tc>
          <w:tcPr>
            <w:tcW w:w="15446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1A5D67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THEATRE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1A5D67">
        <w:tc>
          <w:tcPr>
            <w:tcW w:w="15446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1A5D67">
        <w:tc>
          <w:tcPr>
            <w:tcW w:w="15446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F71BEA" w:rsidTr="001A5D67">
        <w:tc>
          <w:tcPr>
            <w:tcW w:w="2543" w:type="dxa"/>
            <w:vMerge w:val="restart"/>
            <w:vAlign w:val="center"/>
          </w:tcPr>
          <w:p w:rsidR="00F71BEA" w:rsidRPr="001A5D67" w:rsidRDefault="00F71BEA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1A5D6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F71BEA" w:rsidRPr="001A5D67" w:rsidRDefault="00F71BEA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1A5D6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</w:p>
          <w:p w:rsidR="00F71BEA" w:rsidRPr="001A5D67" w:rsidRDefault="001A5D67" w:rsidP="007C3D7A">
            <w:pPr>
              <w:spacing w:before="120" w:after="120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1A5D67">
              <w:rPr>
                <w:rFonts w:ascii="Arial Narrow" w:hAnsi="Arial Narrow" w:cs="HelveticaNeueLT-Light"/>
                <w:sz w:val="20"/>
                <w:szCs w:val="20"/>
              </w:rPr>
              <w:t>Interpret a script across the stages of the production process through creative, imaginative and collaborative work undertaken in two production roles.</w:t>
            </w:r>
          </w:p>
        </w:tc>
        <w:tc>
          <w:tcPr>
            <w:tcW w:w="12903" w:type="dxa"/>
            <w:gridSpan w:val="5"/>
            <w:shd w:val="clear" w:color="auto" w:fill="DCE4F0" w:themeFill="accent6" w:themeFillTint="33"/>
            <w:vAlign w:val="center"/>
          </w:tcPr>
          <w:p w:rsidR="00F71BEA" w:rsidRPr="00EC42E9" w:rsidRDefault="00F71BEA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71BEA" w:rsidRPr="00497336" w:rsidTr="001A5D67">
        <w:trPr>
          <w:trHeight w:val="170"/>
        </w:trPr>
        <w:tc>
          <w:tcPr>
            <w:tcW w:w="2543" w:type="dxa"/>
            <w:vMerge/>
            <w:vAlign w:val="center"/>
          </w:tcPr>
          <w:p w:rsidR="00F71BEA" w:rsidRPr="00497336" w:rsidRDefault="00F71BEA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F71BEA" w:rsidRPr="00497336" w:rsidRDefault="00F71BEA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F71BEA" w:rsidRPr="00497336" w:rsidRDefault="00F71BEA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F71BEA" w:rsidRPr="00497336" w:rsidRDefault="00F71BEA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F71BEA" w:rsidRPr="00497336" w:rsidRDefault="00F71BEA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4" w:type="dxa"/>
            <w:vAlign w:val="center"/>
          </w:tcPr>
          <w:p w:rsidR="00F71BEA" w:rsidRPr="00497336" w:rsidRDefault="00F71BEA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1A5D67" w:rsidRPr="00497336" w:rsidTr="001A5D67">
        <w:trPr>
          <w:trHeight w:val="170"/>
        </w:trPr>
        <w:tc>
          <w:tcPr>
            <w:tcW w:w="2543" w:type="dxa"/>
            <w:vMerge/>
            <w:vAlign w:val="center"/>
          </w:tcPr>
          <w:p w:rsidR="001A5D67" w:rsidRPr="00497336" w:rsidRDefault="001A5D67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903" w:type="dxa"/>
            <w:gridSpan w:val="5"/>
            <w:vAlign w:val="center"/>
          </w:tcPr>
          <w:p w:rsidR="001A5D67" w:rsidRPr="0063034D" w:rsidRDefault="001A5D67" w:rsidP="007C3D7A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3034D">
              <w:rPr>
                <w:rFonts w:ascii="Arial Narrow" w:hAnsi="Arial Narrow"/>
                <w:b/>
                <w:sz w:val="20"/>
                <w:szCs w:val="20"/>
              </w:rPr>
              <w:t>Task 1: Ongoing developmental contributions</w:t>
            </w:r>
          </w:p>
        </w:tc>
      </w:tr>
      <w:tr w:rsidR="001A5D67" w:rsidTr="001A5D67">
        <w:tc>
          <w:tcPr>
            <w:tcW w:w="2543" w:type="dxa"/>
            <w:vMerge/>
            <w:vAlign w:val="center"/>
          </w:tcPr>
          <w:p w:rsidR="001A5D67" w:rsidRDefault="001A5D67" w:rsidP="001A5D67"/>
        </w:tc>
        <w:tc>
          <w:tcPr>
            <w:tcW w:w="2551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Very little use of the production process and very limited contribution to the development of a creative and imaginative interpretation of a script for an audience.</w:t>
            </w:r>
          </w:p>
        </w:tc>
        <w:tc>
          <w:tcPr>
            <w:tcW w:w="2559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Some use of the production process is evident through some contribution to the development of a creative and imaginative interpretation of a script</w:t>
            </w:r>
            <w:r w:rsidRPr="0063034D" w:rsidDel="000C531A">
              <w:rPr>
                <w:sz w:val="20"/>
                <w:szCs w:val="20"/>
              </w:rPr>
              <w:t xml:space="preserve"> </w:t>
            </w:r>
            <w:r w:rsidRPr="0063034D">
              <w:rPr>
                <w:sz w:val="20"/>
                <w:szCs w:val="20"/>
              </w:rPr>
              <w:t xml:space="preserve">for an audience. </w:t>
            </w:r>
          </w:p>
        </w:tc>
        <w:tc>
          <w:tcPr>
            <w:tcW w:w="2551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Adequate use of the production process is evident through a satisfactory  contribution to the development of a creative and imaginative interpretation of a script for an audience</w:t>
            </w:r>
          </w:p>
        </w:tc>
        <w:tc>
          <w:tcPr>
            <w:tcW w:w="2608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Detailed use of the production process is  evident through  a  well-informed  contribution to the development of a creative and imaginative interpretation of a script for an audience</w:t>
            </w:r>
          </w:p>
        </w:tc>
        <w:tc>
          <w:tcPr>
            <w:tcW w:w="2634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Insightful use of the production process is  evident through  a  sophisticated contribution to the development of a creative and imaginative interpretation of a script for an audience</w:t>
            </w:r>
          </w:p>
        </w:tc>
      </w:tr>
      <w:tr w:rsidR="001A5D67" w:rsidTr="001A5D67">
        <w:tc>
          <w:tcPr>
            <w:tcW w:w="2543" w:type="dxa"/>
            <w:vMerge/>
          </w:tcPr>
          <w:p w:rsidR="001A5D67" w:rsidRDefault="001A5D67" w:rsidP="001A5D67"/>
        </w:tc>
        <w:tc>
          <w:tcPr>
            <w:tcW w:w="2551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Very limited work in two production roles demonstrates very little application of dramaturgy and use of the elements of theatre composition.</w:t>
            </w:r>
          </w:p>
        </w:tc>
        <w:tc>
          <w:tcPr>
            <w:tcW w:w="2559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Some work in two production roles demonstrates limited application of dramaturgy and use of the elements of theatre composition.</w:t>
            </w:r>
          </w:p>
        </w:tc>
        <w:tc>
          <w:tcPr>
            <w:tcW w:w="2551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>Sufficient work in two production roles demonstrates adequate application of dramaturgy and use of the elements of theatre composition.</w:t>
            </w:r>
          </w:p>
        </w:tc>
        <w:tc>
          <w:tcPr>
            <w:tcW w:w="2608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Thorough work in two production roles demonstrates substantial application of dramaturgy and use of the elements of theatre composition. </w:t>
            </w:r>
          </w:p>
        </w:tc>
        <w:tc>
          <w:tcPr>
            <w:tcW w:w="2634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Comprehensive and complex work in two production roles demonstrates outstanding application of dramaturgy and use of the elements of theatre composition. </w:t>
            </w:r>
          </w:p>
        </w:tc>
      </w:tr>
      <w:tr w:rsidR="001A5D67" w:rsidTr="001A5D67">
        <w:trPr>
          <w:trHeight w:val="397"/>
        </w:trPr>
        <w:tc>
          <w:tcPr>
            <w:tcW w:w="2543" w:type="dxa"/>
            <w:vMerge/>
          </w:tcPr>
          <w:p w:rsidR="001A5D67" w:rsidRDefault="001A5D67" w:rsidP="00F71BEA"/>
        </w:tc>
        <w:tc>
          <w:tcPr>
            <w:tcW w:w="12903" w:type="dxa"/>
            <w:gridSpan w:val="5"/>
          </w:tcPr>
          <w:p w:rsidR="001A5D67" w:rsidRPr="0063034D" w:rsidRDefault="001A5D67" w:rsidP="001A5D67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3034D">
              <w:rPr>
                <w:rFonts w:ascii="Arial Narrow" w:hAnsi="Arial Narrow"/>
                <w:b/>
                <w:sz w:val="20"/>
                <w:szCs w:val="20"/>
              </w:rPr>
              <w:t>Task 2: analysis and evaluation of ongoing developmental contributions</w:t>
            </w:r>
          </w:p>
        </w:tc>
      </w:tr>
      <w:tr w:rsidR="001A5D67" w:rsidTr="001A5D67">
        <w:tc>
          <w:tcPr>
            <w:tcW w:w="2543" w:type="dxa"/>
            <w:vMerge/>
          </w:tcPr>
          <w:p w:rsidR="001A5D67" w:rsidRDefault="001A5D67" w:rsidP="001A5D67"/>
        </w:tc>
        <w:tc>
          <w:tcPr>
            <w:tcW w:w="2551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Very little contributions towards the effective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production aims are documented. Very little analysis and evaluation of these contributions and little reference to them in the refinement of production outcomes across all three stages.</w:t>
            </w:r>
          </w:p>
        </w:tc>
        <w:tc>
          <w:tcPr>
            <w:tcW w:w="2559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Some contributions towards the effective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production aims are documented. Limited analysis and evaluation of these contributions is applied in the refinement of production outcomes across all three stages.</w:t>
            </w:r>
          </w:p>
        </w:tc>
        <w:tc>
          <w:tcPr>
            <w:tcW w:w="2551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Satisfactory contributions towards the effective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production aims are documented. Adequate analysis and evaluation of these contributions is applied in the refinement of production outcomes across all three stages.</w:t>
            </w:r>
          </w:p>
        </w:tc>
        <w:tc>
          <w:tcPr>
            <w:tcW w:w="2608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Thoughtful contributions towards the effective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production aims are competently documented. Analysis and evaluation of these contributions is clear and effective in the refinement of production out</w:t>
            </w:r>
            <w:r w:rsidR="0063034D">
              <w:rPr>
                <w:sz w:val="20"/>
                <w:szCs w:val="20"/>
              </w:rPr>
              <w:t>comes across all three stages.</w:t>
            </w:r>
          </w:p>
        </w:tc>
        <w:tc>
          <w:tcPr>
            <w:tcW w:w="2634" w:type="dxa"/>
          </w:tcPr>
          <w:p w:rsidR="001A5D67" w:rsidRPr="0063034D" w:rsidRDefault="001A5D67" w:rsidP="001A5D67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Sophisticated contributions towards the effective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production aims are thoroughly documented. Analysis and evaluation of these contributions is astute and judiciously applied to the refinement of production outcomes across all three stages.</w:t>
            </w:r>
          </w:p>
        </w:tc>
      </w:tr>
      <w:tr w:rsidR="0063034D" w:rsidTr="00BC7656">
        <w:tc>
          <w:tcPr>
            <w:tcW w:w="2543" w:type="dxa"/>
            <w:vMerge/>
          </w:tcPr>
          <w:p w:rsidR="0063034D" w:rsidRDefault="0063034D" w:rsidP="00F71BEA"/>
        </w:tc>
        <w:tc>
          <w:tcPr>
            <w:tcW w:w="12903" w:type="dxa"/>
            <w:gridSpan w:val="5"/>
          </w:tcPr>
          <w:p w:rsidR="0063034D" w:rsidRPr="0063034D" w:rsidRDefault="0063034D" w:rsidP="0063034D">
            <w:pPr>
              <w:spacing w:before="120" w:after="12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034D">
              <w:rPr>
                <w:rFonts w:ascii="Arial Narrow" w:hAnsi="Arial Narrow"/>
                <w:b/>
                <w:sz w:val="20"/>
                <w:szCs w:val="20"/>
              </w:rPr>
              <w:t>Tasks 1 and 2</w:t>
            </w:r>
          </w:p>
        </w:tc>
      </w:tr>
      <w:tr w:rsidR="0063034D" w:rsidTr="001A5D67">
        <w:tc>
          <w:tcPr>
            <w:tcW w:w="2543" w:type="dxa"/>
            <w:vMerge/>
          </w:tcPr>
          <w:p w:rsidR="0063034D" w:rsidRDefault="0063034D" w:rsidP="0063034D"/>
        </w:tc>
        <w:tc>
          <w:tcPr>
            <w:tcW w:w="2551" w:type="dxa"/>
          </w:tcPr>
          <w:p w:rsidR="0063034D" w:rsidRPr="0063034D" w:rsidRDefault="0063034D" w:rsidP="0063034D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Limited use of appropriate theatre terminology and expression facilitates the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the production aims throughout the production process.</w:t>
            </w:r>
          </w:p>
        </w:tc>
        <w:tc>
          <w:tcPr>
            <w:tcW w:w="2559" w:type="dxa"/>
          </w:tcPr>
          <w:p w:rsidR="0063034D" w:rsidRPr="0063034D" w:rsidRDefault="0063034D" w:rsidP="0063034D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Some use of appropriate theatre terminology and expression facilitates the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the production aims throughout the production process. </w:t>
            </w:r>
          </w:p>
        </w:tc>
        <w:tc>
          <w:tcPr>
            <w:tcW w:w="2551" w:type="dxa"/>
          </w:tcPr>
          <w:p w:rsidR="0063034D" w:rsidRPr="0063034D" w:rsidRDefault="0063034D" w:rsidP="0063034D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Satisfactory use of appropriate theatre terminology and expression facilitates the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the production aims throughout the production process.</w:t>
            </w:r>
          </w:p>
        </w:tc>
        <w:tc>
          <w:tcPr>
            <w:tcW w:w="2608" w:type="dxa"/>
          </w:tcPr>
          <w:p w:rsidR="0063034D" w:rsidRPr="0063034D" w:rsidRDefault="0063034D" w:rsidP="0063034D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Proficient use of appropriate theatre terminology and expression facilitates the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the production aims throughout the production process.</w:t>
            </w:r>
          </w:p>
        </w:tc>
        <w:tc>
          <w:tcPr>
            <w:tcW w:w="2634" w:type="dxa"/>
          </w:tcPr>
          <w:p w:rsidR="0063034D" w:rsidRPr="0063034D" w:rsidRDefault="0063034D" w:rsidP="0063034D">
            <w:pPr>
              <w:pStyle w:val="VCAAtablecondensed"/>
              <w:spacing w:line="240" w:lineRule="auto"/>
              <w:rPr>
                <w:sz w:val="20"/>
                <w:szCs w:val="20"/>
              </w:rPr>
            </w:pPr>
            <w:r w:rsidRPr="0063034D">
              <w:rPr>
                <w:sz w:val="20"/>
                <w:szCs w:val="20"/>
              </w:rPr>
              <w:t xml:space="preserve">Concise and precise use of appropriate theatre terminology and expression facilitates the </w:t>
            </w:r>
            <w:proofErr w:type="spellStart"/>
            <w:r w:rsidRPr="0063034D">
              <w:rPr>
                <w:sz w:val="20"/>
                <w:szCs w:val="20"/>
              </w:rPr>
              <w:t>realisation</w:t>
            </w:r>
            <w:proofErr w:type="spellEnd"/>
            <w:r w:rsidRPr="0063034D">
              <w:rPr>
                <w:sz w:val="20"/>
                <w:szCs w:val="20"/>
              </w:rPr>
              <w:t xml:space="preserve"> of the production aims throughout the production process.</w:t>
            </w:r>
          </w:p>
        </w:tc>
      </w:tr>
    </w:tbl>
    <w:p w:rsidR="00EC42E9" w:rsidRDefault="00EC42E9" w:rsidP="00EC42E9">
      <w:pPr>
        <w:spacing w:after="0"/>
        <w:rPr>
          <w:sz w:val="16"/>
          <w:szCs w:val="16"/>
        </w:rPr>
      </w:pPr>
    </w:p>
    <w:p w:rsidR="00F71BEA" w:rsidRDefault="00F71BEA" w:rsidP="00EC42E9">
      <w:pPr>
        <w:spacing w:after="0"/>
        <w:rPr>
          <w:sz w:val="16"/>
          <w:szCs w:val="16"/>
        </w:rPr>
      </w:pPr>
    </w:p>
    <w:p w:rsidR="0063034D" w:rsidRPr="00D91EFE" w:rsidRDefault="0063034D" w:rsidP="00EC42E9">
      <w:pPr>
        <w:spacing w:after="0"/>
        <w:rPr>
          <w:sz w:val="16"/>
          <w:szCs w:val="16"/>
        </w:rPr>
      </w:pPr>
    </w:p>
    <w:p w:rsidR="007C3D7A" w:rsidRPr="0063034D" w:rsidRDefault="007C3D7A" w:rsidP="005B442F">
      <w:pPr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63034D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3B08A6">
        <w:rPr>
          <w:rFonts w:ascii="Arial Narrow" w:hAnsi="Arial Narrow" w:cs="Arial"/>
          <w:sz w:val="20"/>
          <w:szCs w:val="20"/>
        </w:rPr>
        <w:t>45</w:t>
      </w:r>
      <w:r w:rsidRPr="0063034D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63034D" w:rsidTr="007C3D7A">
        <w:tc>
          <w:tcPr>
            <w:tcW w:w="2062" w:type="dxa"/>
            <w:vAlign w:val="center"/>
          </w:tcPr>
          <w:p w:rsidR="007C3D7A" w:rsidRPr="0063034D" w:rsidRDefault="007C3D7A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>Very Low 1–</w:t>
            </w:r>
            <w:r w:rsidR="003B08A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63" w:type="dxa"/>
            <w:vAlign w:val="center"/>
          </w:tcPr>
          <w:p w:rsidR="007C3D7A" w:rsidRPr="0063034D" w:rsidRDefault="007C3D7A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Low </w:t>
            </w:r>
            <w:r w:rsidR="003B08A6">
              <w:rPr>
                <w:rFonts w:ascii="Arial Narrow" w:hAnsi="Arial Narrow"/>
                <w:sz w:val="20"/>
                <w:szCs w:val="20"/>
              </w:rPr>
              <w:t>10</w:t>
            </w:r>
            <w:r w:rsidRPr="0063034D">
              <w:rPr>
                <w:rFonts w:ascii="Arial Narrow" w:hAnsi="Arial Narrow"/>
                <w:sz w:val="20"/>
                <w:szCs w:val="20"/>
              </w:rPr>
              <w:t>–</w:t>
            </w:r>
            <w:r w:rsidR="003B08A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063" w:type="dxa"/>
            <w:vAlign w:val="center"/>
          </w:tcPr>
          <w:p w:rsidR="007C3D7A" w:rsidRPr="0063034D" w:rsidRDefault="007C3D7A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Medium </w:t>
            </w:r>
            <w:r w:rsidR="003B08A6">
              <w:rPr>
                <w:rFonts w:ascii="Arial Narrow" w:hAnsi="Arial Narrow"/>
                <w:sz w:val="20"/>
                <w:szCs w:val="20"/>
              </w:rPr>
              <w:t>19</w:t>
            </w:r>
            <w:r w:rsidRPr="0063034D">
              <w:rPr>
                <w:rFonts w:ascii="Arial Narrow" w:hAnsi="Arial Narrow"/>
                <w:sz w:val="20"/>
                <w:szCs w:val="20"/>
              </w:rPr>
              <w:t>–</w:t>
            </w:r>
            <w:r w:rsidR="003B08A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063" w:type="dxa"/>
            <w:vAlign w:val="center"/>
          </w:tcPr>
          <w:p w:rsidR="007C3D7A" w:rsidRPr="0063034D" w:rsidRDefault="007C3D7A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High </w:t>
            </w:r>
            <w:r w:rsidR="003B08A6">
              <w:rPr>
                <w:rFonts w:ascii="Arial Narrow" w:hAnsi="Arial Narrow"/>
                <w:sz w:val="20"/>
                <w:szCs w:val="20"/>
              </w:rPr>
              <w:t>28</w:t>
            </w:r>
            <w:r w:rsidRPr="0063034D">
              <w:rPr>
                <w:rFonts w:ascii="Arial Narrow" w:hAnsi="Arial Narrow"/>
                <w:sz w:val="20"/>
                <w:szCs w:val="20"/>
              </w:rPr>
              <w:t>–</w:t>
            </w:r>
            <w:r w:rsidR="003B08A6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2063" w:type="dxa"/>
            <w:vAlign w:val="center"/>
          </w:tcPr>
          <w:p w:rsidR="007C3D7A" w:rsidRPr="0063034D" w:rsidRDefault="007C3D7A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Very High </w:t>
            </w:r>
            <w:r w:rsidR="003B08A6">
              <w:rPr>
                <w:rFonts w:ascii="Arial Narrow" w:hAnsi="Arial Narrow"/>
                <w:sz w:val="20"/>
                <w:szCs w:val="20"/>
              </w:rPr>
              <w:t>37</w:t>
            </w:r>
            <w:r w:rsidRPr="0063034D">
              <w:rPr>
                <w:rFonts w:ascii="Arial Narrow" w:hAnsi="Arial Narrow"/>
                <w:sz w:val="20"/>
                <w:szCs w:val="20"/>
              </w:rPr>
              <w:t>–</w:t>
            </w:r>
            <w:r w:rsidR="003B08A6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</w:tbl>
    <w:p w:rsidR="0063034D" w:rsidRPr="0063034D" w:rsidRDefault="0063034D" w:rsidP="0063034D">
      <w:pPr>
        <w:spacing w:after="0"/>
        <w:rPr>
          <w:rFonts w:ascii="Arial Narrow" w:hAnsi="Arial Narrow"/>
          <w:sz w:val="20"/>
          <w:szCs w:val="20"/>
        </w:rPr>
      </w:pPr>
    </w:p>
    <w:p w:rsidR="0063034D" w:rsidRPr="0063034D" w:rsidRDefault="0063034D" w:rsidP="0063034D">
      <w:pPr>
        <w:spacing w:after="0"/>
        <w:rPr>
          <w:rFonts w:ascii="Arial Narrow" w:hAnsi="Arial Narrow"/>
          <w:sz w:val="20"/>
          <w:szCs w:val="20"/>
        </w:rPr>
      </w:pPr>
    </w:p>
    <w:p w:rsidR="0063034D" w:rsidRPr="0063034D" w:rsidRDefault="0063034D" w:rsidP="0063034D">
      <w:pPr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63034D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3B08A6">
        <w:rPr>
          <w:rFonts w:ascii="Arial Narrow" w:hAnsi="Arial Narrow" w:cs="Arial"/>
          <w:sz w:val="20"/>
          <w:szCs w:val="20"/>
        </w:rPr>
        <w:t>15</w:t>
      </w:r>
      <w:r w:rsidRPr="0063034D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63034D" w:rsidRPr="0063034D" w:rsidTr="004815B8">
        <w:tc>
          <w:tcPr>
            <w:tcW w:w="2062" w:type="dxa"/>
            <w:vAlign w:val="center"/>
          </w:tcPr>
          <w:p w:rsidR="0063034D" w:rsidRPr="0063034D" w:rsidRDefault="003B08A6" w:rsidP="004815B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Very Low 1–2</w:t>
            </w:r>
          </w:p>
        </w:tc>
        <w:tc>
          <w:tcPr>
            <w:tcW w:w="2063" w:type="dxa"/>
            <w:vAlign w:val="center"/>
          </w:tcPr>
          <w:p w:rsidR="0063034D" w:rsidRPr="0063034D" w:rsidRDefault="0063034D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Low </w:t>
            </w:r>
            <w:r w:rsidR="003B08A6">
              <w:rPr>
                <w:rFonts w:ascii="Arial Narrow" w:hAnsi="Arial Narrow"/>
                <w:sz w:val="20"/>
                <w:szCs w:val="20"/>
              </w:rPr>
              <w:t>3</w:t>
            </w:r>
            <w:r w:rsidRPr="0063034D">
              <w:rPr>
                <w:rFonts w:ascii="Arial Narrow" w:hAnsi="Arial Narrow"/>
                <w:sz w:val="20"/>
                <w:szCs w:val="20"/>
              </w:rPr>
              <w:t>–</w:t>
            </w:r>
            <w:r w:rsidR="003B08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:rsidR="0063034D" w:rsidRPr="0063034D" w:rsidRDefault="0063034D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Medium </w:t>
            </w:r>
            <w:r w:rsidR="003B08A6">
              <w:rPr>
                <w:rFonts w:ascii="Arial Narrow" w:hAnsi="Arial Narrow"/>
                <w:sz w:val="20"/>
                <w:szCs w:val="20"/>
              </w:rPr>
              <w:t>7</w:t>
            </w:r>
            <w:r w:rsidRPr="0063034D">
              <w:rPr>
                <w:rFonts w:ascii="Arial Narrow" w:hAnsi="Arial Narrow"/>
                <w:sz w:val="20"/>
                <w:szCs w:val="20"/>
              </w:rPr>
              <w:t>–</w:t>
            </w:r>
            <w:r w:rsidR="003B08A6">
              <w:rPr>
                <w:rFonts w:ascii="Arial Narrow" w:hAnsi="Arial Narrow"/>
                <w:sz w:val="20"/>
                <w:szCs w:val="20"/>
              </w:rPr>
              <w:t>1</w:t>
            </w:r>
            <w:r w:rsidRPr="0063034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063" w:type="dxa"/>
            <w:vAlign w:val="center"/>
          </w:tcPr>
          <w:p w:rsidR="0063034D" w:rsidRPr="0063034D" w:rsidRDefault="0063034D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High </w:t>
            </w:r>
            <w:r w:rsidR="003B08A6">
              <w:rPr>
                <w:rFonts w:ascii="Arial Narrow" w:hAnsi="Arial Narrow"/>
                <w:sz w:val="20"/>
                <w:szCs w:val="20"/>
              </w:rPr>
              <w:t>1</w:t>
            </w:r>
            <w:r w:rsidRPr="0063034D">
              <w:rPr>
                <w:rFonts w:ascii="Arial Narrow" w:hAnsi="Arial Narrow"/>
                <w:sz w:val="20"/>
                <w:szCs w:val="20"/>
              </w:rPr>
              <w:t>1–</w:t>
            </w:r>
            <w:r w:rsidR="003B08A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063" w:type="dxa"/>
            <w:vAlign w:val="center"/>
          </w:tcPr>
          <w:p w:rsidR="0063034D" w:rsidRPr="0063034D" w:rsidRDefault="0063034D" w:rsidP="003B08A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34D">
              <w:rPr>
                <w:rFonts w:ascii="Arial Narrow" w:hAnsi="Arial Narrow"/>
                <w:sz w:val="20"/>
                <w:szCs w:val="20"/>
              </w:rPr>
              <w:t xml:space="preserve">Very High </w:t>
            </w:r>
            <w:r w:rsidR="003B08A6">
              <w:rPr>
                <w:rFonts w:ascii="Arial Narrow" w:hAnsi="Arial Narrow"/>
                <w:sz w:val="20"/>
                <w:szCs w:val="20"/>
              </w:rPr>
              <w:t>14</w:t>
            </w:r>
            <w:r w:rsidRPr="0063034D">
              <w:rPr>
                <w:rFonts w:ascii="Arial Narrow" w:hAnsi="Arial Narrow"/>
                <w:sz w:val="20"/>
                <w:szCs w:val="20"/>
              </w:rPr>
              <w:t>–1</w:t>
            </w:r>
            <w:r w:rsidR="003B08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63034D" w:rsidRPr="0063034D" w:rsidRDefault="0063034D" w:rsidP="0063034D">
      <w:pPr>
        <w:spacing w:after="0"/>
        <w:rPr>
          <w:rFonts w:ascii="Arial Narrow" w:hAnsi="Arial Narrow"/>
          <w:sz w:val="20"/>
          <w:szCs w:val="20"/>
        </w:rPr>
      </w:pPr>
    </w:p>
    <w:p w:rsidR="00EC42E9" w:rsidRPr="0063034D" w:rsidRDefault="00EC42E9" w:rsidP="00D91EFE">
      <w:pPr>
        <w:spacing w:after="0"/>
        <w:rPr>
          <w:rFonts w:ascii="Arial Narrow" w:hAnsi="Arial Narrow"/>
          <w:sz w:val="20"/>
          <w:szCs w:val="20"/>
        </w:rPr>
      </w:pPr>
    </w:p>
    <w:sectPr w:rsidR="00EC42E9" w:rsidRPr="0063034D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67" w:rsidRDefault="001A5D67" w:rsidP="00304EA1">
      <w:pPr>
        <w:spacing w:after="0" w:line="240" w:lineRule="auto"/>
      </w:pPr>
      <w:r>
        <w:separator/>
      </w:r>
    </w:p>
  </w:endnote>
  <w:endnote w:type="continuationSeparator" w:id="0">
    <w:p w:rsidR="001A5D67" w:rsidRDefault="001A5D6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67" w:rsidRPr="00243F0D" w:rsidRDefault="001A5D67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47F7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67" w:rsidRDefault="001A5D67" w:rsidP="00D3388E">
    <w:pPr>
      <w:pStyle w:val="VCAAcaptionsandfootnotes"/>
      <w:spacing w:before="520"/>
    </w:pPr>
    <w:r w:rsidRPr="007C49DD">
      <w:rPr>
        <w:rFonts w:ascii="Arial Narrow" w:hAnsi="Arial Narrow"/>
      </w:rPr>
      <w:t xml:space="preserve">© </w:t>
    </w:r>
    <w:hyperlink r:id="rId1" w:history="1">
      <w:r w:rsidRPr="007C49DD">
        <w:rPr>
          <w:rStyle w:val="Hyperlink"/>
          <w:rFonts w:ascii="Arial Narrow" w:hAnsi="Arial Narrow"/>
        </w:rPr>
        <w:t>VCAA</w:t>
      </w:r>
    </w:hyperlink>
    <w:r w:rsidRPr="007C49DD">
      <w:rPr>
        <w:rStyle w:val="Hyperlink"/>
        <w:rFonts w:ascii="Arial Narrow" w:hAnsi="Arial Narrow"/>
      </w:rPr>
      <w:t xml:space="preserve"> </w:t>
    </w:r>
    <w:r w:rsidRPr="007C49DD">
      <w:rPr>
        <w:rFonts w:ascii="Arial Narrow" w:hAnsi="Arial Narrow"/>
      </w:rPr>
      <w:t>2018</w:t>
    </w:r>
    <w:r w:rsidRPr="007C49DD">
      <w:rPr>
        <w:rFonts w:ascii="Arial Narrow" w:hAnsi="Arial Narrow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67" w:rsidRDefault="001A5D67" w:rsidP="00304EA1">
      <w:pPr>
        <w:spacing w:after="0" w:line="240" w:lineRule="auto"/>
      </w:pPr>
      <w:r>
        <w:separator/>
      </w:r>
    </w:p>
  </w:footnote>
  <w:footnote w:type="continuationSeparator" w:id="0">
    <w:p w:rsidR="001A5D67" w:rsidRDefault="001A5D6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A5D67" w:rsidRPr="00D86DE4" w:rsidRDefault="001A5D6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Theatre Studies: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67" w:rsidRPr="009370BC" w:rsidRDefault="001A5D67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93B70"/>
    <w:rsid w:val="000A71F7"/>
    <w:rsid w:val="000F09E4"/>
    <w:rsid w:val="000F16FD"/>
    <w:rsid w:val="00164D7A"/>
    <w:rsid w:val="00180973"/>
    <w:rsid w:val="001A5D67"/>
    <w:rsid w:val="001C0DE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B08A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3034D"/>
    <w:rsid w:val="00656B26"/>
    <w:rsid w:val="00693FFD"/>
    <w:rsid w:val="006D2159"/>
    <w:rsid w:val="006F787C"/>
    <w:rsid w:val="00702636"/>
    <w:rsid w:val="00724507"/>
    <w:rsid w:val="00742306"/>
    <w:rsid w:val="00747F7B"/>
    <w:rsid w:val="00751217"/>
    <w:rsid w:val="0076106A"/>
    <w:rsid w:val="00773E6C"/>
    <w:rsid w:val="007B186E"/>
    <w:rsid w:val="007C3D7A"/>
    <w:rsid w:val="007C49DD"/>
    <w:rsid w:val="00813C37"/>
    <w:rsid w:val="008154B5"/>
    <w:rsid w:val="00823962"/>
    <w:rsid w:val="00852719"/>
    <w:rsid w:val="00860115"/>
    <w:rsid w:val="0088783C"/>
    <w:rsid w:val="008954E5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1091D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44CD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01D1A"/>
    <w:rsid w:val="00E23F1D"/>
    <w:rsid w:val="00E36361"/>
    <w:rsid w:val="00E55AE9"/>
    <w:rsid w:val="00EC42E9"/>
    <w:rsid w:val="00ED288F"/>
    <w:rsid w:val="00F40D53"/>
    <w:rsid w:val="00F4525C"/>
    <w:rsid w:val="00F71BEA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71BE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7288E"/>
    <w:rsid w:val="006B2328"/>
    <w:rsid w:val="00EB54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0825A69-5B3F-461D-AD8D-5E13134377CC}"/>
</file>

<file path=customXml/itemProps2.xml><?xml version="1.0" encoding="utf-8"?>
<ds:datastoreItem xmlns:ds="http://schemas.openxmlformats.org/officeDocument/2006/customXml" ds:itemID="{1D58A957-6F4A-46F3-81DE-6137B3FEFC36}"/>
</file>

<file path=customXml/itemProps3.xml><?xml version="1.0" encoding="utf-8"?>
<ds:datastoreItem xmlns:ds="http://schemas.openxmlformats.org/officeDocument/2006/customXml" ds:itemID="{290A109D-9351-4B95-AEF8-DC4CEDC12270}"/>
</file>

<file path=customXml/itemProps4.xml><?xml version="1.0" encoding="utf-8"?>
<ds:datastoreItem xmlns:ds="http://schemas.openxmlformats.org/officeDocument/2006/customXml" ds:itemID="{A2F672C6-610B-46CA-876C-98215DA9420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Theatre Studies: Performance Descriptors Unit 3 Outcome 1</vt:lpstr>
    </vt:vector>
  </TitlesOfParts>
  <Company>Victorian Curriculum and Assessment Authority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Theatre Studies: Performance Descriptors Unit 3 Outcome 1</dc:title>
  <dc:subject>VCE Theatre</dc:subject>
  <dc:creator>Coleman, Julie J</dc:creator>
  <cp:keywords>VCE, Theatre, Advice for teachers, Performance Descriptors, Unit 3,Outcome 1, staging</cp:keywords>
  <cp:lastModifiedBy>Coleman, Julie J</cp:lastModifiedBy>
  <cp:revision>7</cp:revision>
  <cp:lastPrinted>2015-05-15T02:35:00Z</cp:lastPrinted>
  <dcterms:created xsi:type="dcterms:W3CDTF">2018-11-06T22:25:00Z</dcterms:created>
  <dcterms:modified xsi:type="dcterms:W3CDTF">2018-11-19T02:33:00Z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