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242AC0" w:rsidP="00CC73CD">
      <w:pPr>
        <w:pStyle w:val="VCAAHeading1"/>
        <w:spacing w:before="0" w:after="240"/>
      </w:pPr>
      <w:r>
        <w:t xml:space="preserve">VCE </w:t>
      </w:r>
      <w:r w:rsidR="00850356">
        <w:t>Biology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119"/>
        <w:gridCol w:w="2120"/>
        <w:gridCol w:w="2119"/>
        <w:gridCol w:w="2120"/>
        <w:gridCol w:w="2120"/>
      </w:tblGrid>
      <w:tr w:rsidR="00850356" w:rsidRPr="00AC3EE8" w:rsidTr="00850356">
        <w:tc>
          <w:tcPr>
            <w:tcW w:w="14562" w:type="dxa"/>
            <w:gridSpan w:val="8"/>
            <w:shd w:val="clear" w:color="auto" w:fill="0F7EB4"/>
          </w:tcPr>
          <w:p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VCE BIOLOGY</w:t>
            </w:r>
          </w:p>
          <w:p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rsidTr="00850356">
        <w:tc>
          <w:tcPr>
            <w:tcW w:w="14562" w:type="dxa"/>
            <w:gridSpan w:val="8"/>
            <w:tcBorders>
              <w:bottom w:val="single" w:sz="4" w:space="0" w:color="auto"/>
            </w:tcBorders>
          </w:tcPr>
          <w:p w:rsidR="00850356" w:rsidRPr="005F18D1" w:rsidRDefault="00850356" w:rsidP="00850356">
            <w:pPr>
              <w:spacing w:before="60" w:after="60"/>
              <w:jc w:val="center"/>
            </w:pPr>
            <w:r w:rsidRPr="005F18D1">
              <w:rPr>
                <w:rFonts w:ascii="Arial Narrow" w:eastAsia="Calibri" w:hAnsi="Arial Narrow" w:cs="Cordia New"/>
                <w:b/>
              </w:rPr>
              <w:t>Performance descriptors</w:t>
            </w:r>
            <w:r w:rsidR="00CE691B">
              <w:rPr>
                <w:rFonts w:ascii="Arial Narrow" w:eastAsia="Calibri" w:hAnsi="Arial Narrow" w:cs="Cordia New"/>
                <w:b/>
              </w:rPr>
              <w:t xml:space="preserve">: </w:t>
            </w:r>
            <w:r w:rsidR="00CE691B" w:rsidRPr="005F18D1">
              <w:rPr>
                <w:rFonts w:ascii="Arial Narrow" w:eastAsia="Calibri" w:hAnsi="Arial Narrow" w:cs="Cordia New"/>
                <w:b/>
              </w:rPr>
              <w:t xml:space="preserve">‘Analysis and evaluation of a </w:t>
            </w:r>
            <w:r w:rsidR="00CE691B">
              <w:rPr>
                <w:rFonts w:ascii="Arial Narrow" w:eastAsia="Calibri" w:hAnsi="Arial Narrow" w:cs="Cordia New"/>
                <w:b/>
              </w:rPr>
              <w:t>contemporary bioethical issue</w:t>
            </w:r>
            <w:r w:rsidR="00CE691B" w:rsidRPr="005F18D1">
              <w:rPr>
                <w:rFonts w:ascii="Arial Narrow" w:eastAsia="Calibri" w:hAnsi="Arial Narrow" w:cs="Cordia New"/>
                <w:b/>
              </w:rPr>
              <w:t>’</w:t>
            </w:r>
          </w:p>
        </w:tc>
      </w:tr>
      <w:tr w:rsidR="00850356" w:rsidRPr="00AC3EE8" w:rsidTr="00850356">
        <w:tc>
          <w:tcPr>
            <w:tcW w:w="2038" w:type="dxa"/>
            <w:gridSpan w:val="2"/>
            <w:tcBorders>
              <w:left w:val="nil"/>
              <w:right w:val="nil"/>
            </w:tcBorders>
          </w:tcPr>
          <w:p w:rsidR="00850356" w:rsidRPr="00AC3EE8" w:rsidRDefault="00850356" w:rsidP="00850356">
            <w:pPr>
              <w:rPr>
                <w:sz w:val="12"/>
                <w:szCs w:val="12"/>
              </w:rPr>
            </w:pPr>
          </w:p>
        </w:tc>
        <w:tc>
          <w:tcPr>
            <w:tcW w:w="12524" w:type="dxa"/>
            <w:gridSpan w:val="6"/>
            <w:tcBorders>
              <w:left w:val="nil"/>
              <w:right w:val="nil"/>
            </w:tcBorders>
          </w:tcPr>
          <w:p w:rsidR="00850356" w:rsidRPr="00AC3EE8" w:rsidRDefault="00850356" w:rsidP="00850356">
            <w:pPr>
              <w:rPr>
                <w:sz w:val="12"/>
                <w:szCs w:val="12"/>
              </w:rPr>
            </w:pPr>
          </w:p>
        </w:tc>
      </w:tr>
      <w:tr w:rsidR="00850356" w:rsidRPr="00AC3EE8" w:rsidTr="00850356">
        <w:tc>
          <w:tcPr>
            <w:tcW w:w="2016" w:type="dxa"/>
            <w:vMerge w:val="restart"/>
            <w:vAlign w:val="center"/>
          </w:tcPr>
          <w:p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rsidR="00850356" w:rsidRPr="00AC3EE8" w:rsidRDefault="00850356"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rsidR="00850356" w:rsidRPr="00AC3EE8" w:rsidRDefault="00850356" w:rsidP="00850356">
            <w:pPr>
              <w:spacing w:before="60" w:after="60"/>
              <w:jc w:val="center"/>
              <w:rPr>
                <w:rFonts w:ascii="Arial Narrow" w:eastAsia="Calibri" w:hAnsi="Arial Narrow"/>
                <w:b/>
                <w:lang w:val="en-AU"/>
              </w:rPr>
            </w:pPr>
          </w:p>
        </w:tc>
        <w:tc>
          <w:tcPr>
            <w:tcW w:w="10598" w:type="dxa"/>
            <w:gridSpan w:val="5"/>
            <w:shd w:val="clear" w:color="auto" w:fill="0F7EB4"/>
            <w:vAlign w:val="center"/>
          </w:tcPr>
          <w:p w:rsidR="00850356" w:rsidRPr="00AC3EE8" w:rsidRDefault="00850356"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850356" w:rsidRPr="00AC3EE8" w:rsidTr="00850356">
        <w:trPr>
          <w:trHeight w:val="170"/>
        </w:trPr>
        <w:tc>
          <w:tcPr>
            <w:tcW w:w="2016" w:type="dxa"/>
            <w:vMerge/>
            <w:vAlign w:val="center"/>
          </w:tcPr>
          <w:p w:rsidR="00850356" w:rsidRPr="00AC3EE8" w:rsidRDefault="00850356" w:rsidP="00850356">
            <w:pPr>
              <w:spacing w:before="120" w:after="120"/>
              <w:rPr>
                <w:rFonts w:ascii="Arial Narrow" w:hAnsi="Arial Narrow"/>
              </w:rPr>
            </w:pPr>
          </w:p>
        </w:tc>
        <w:tc>
          <w:tcPr>
            <w:tcW w:w="1948" w:type="dxa"/>
            <w:gridSpan w:val="2"/>
            <w:vAlign w:val="center"/>
          </w:tcPr>
          <w:p w:rsidR="00850356" w:rsidRPr="00AC3EE8" w:rsidRDefault="00850356"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119" w:type="dxa"/>
            <w:vAlign w:val="center"/>
          </w:tcPr>
          <w:p w:rsidR="00850356" w:rsidRPr="001A7DC5" w:rsidRDefault="00850356" w:rsidP="00850356">
            <w:pPr>
              <w:spacing w:before="60" w:after="60"/>
              <w:jc w:val="center"/>
              <w:rPr>
                <w:rFonts w:ascii="Arial Narrow" w:hAnsi="Arial Narrow"/>
                <w:b/>
              </w:rPr>
            </w:pPr>
            <w:r w:rsidRPr="001A7DC5">
              <w:rPr>
                <w:rFonts w:ascii="Arial Narrow" w:hAnsi="Arial Narrow"/>
                <w:b/>
              </w:rPr>
              <w:t>Very Low</w:t>
            </w:r>
          </w:p>
        </w:tc>
        <w:tc>
          <w:tcPr>
            <w:tcW w:w="2120" w:type="dxa"/>
            <w:vAlign w:val="center"/>
          </w:tcPr>
          <w:p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119" w:type="dxa"/>
            <w:vAlign w:val="center"/>
          </w:tcPr>
          <w:p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120" w:type="dxa"/>
            <w:vAlign w:val="center"/>
          </w:tcPr>
          <w:p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120" w:type="dxa"/>
            <w:vAlign w:val="center"/>
          </w:tcPr>
          <w:p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CE691B" w:rsidRPr="00AC3EE8" w:rsidTr="00850356">
        <w:tc>
          <w:tcPr>
            <w:tcW w:w="2016" w:type="dxa"/>
            <w:vMerge/>
            <w:vAlign w:val="center"/>
          </w:tcPr>
          <w:p w:rsidR="00CE691B" w:rsidRPr="00AC3EE8" w:rsidRDefault="00CE691B" w:rsidP="00CE691B"/>
        </w:tc>
        <w:tc>
          <w:tcPr>
            <w:tcW w:w="1948" w:type="dxa"/>
            <w:gridSpan w:val="2"/>
          </w:tcPr>
          <w:p w:rsidR="00CE691B" w:rsidRPr="00CE691B" w:rsidRDefault="00CE691B" w:rsidP="00CE691B">
            <w:pPr>
              <w:spacing w:before="60" w:after="60"/>
              <w:rPr>
                <w:rFonts w:ascii="Arial Narrow" w:hAnsi="Arial Narrow" w:cstheme="minorHAnsi"/>
                <w:i/>
                <w:sz w:val="18"/>
                <w:szCs w:val="18"/>
              </w:rPr>
            </w:pPr>
            <w:r w:rsidRPr="00CE691B">
              <w:rPr>
                <w:rFonts w:ascii="Arial Narrow" w:hAnsi="Arial Narrow" w:cstheme="minorHAnsi"/>
                <w:i/>
                <w:sz w:val="18"/>
                <w:szCs w:val="18"/>
              </w:rPr>
              <w:t>Generate, collate and record data</w:t>
            </w: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Limited collation of appropriate secondary data and identification of some appropriate ways to organise and present data through diagrams, flow charts, tables and graphs relevant to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Some collation of appropriate secondary data and selection and use of some appropriate ways to organise and present data through diagrams, flow charts, tables and graphs relevant to the selected bioethical issue.</w:t>
            </w: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Suitable collation of appropriate secondary data and selection and use of appropriate ways to organise and present data through diagrams, flow charts, tables and graphs relevant to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Competent collation of appropriate secondary data and effective selection and use of appropriate ways to organise and present data through diagrams, flow charts, tables and graphs relevant to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Thorough collation of appropriate secondary data and proficient selection and highly appropriate use of ways to organise and present data through diagrams, flow charts, tables and graphs relevant to the selected bioethical issue.</w:t>
            </w:r>
          </w:p>
        </w:tc>
      </w:tr>
      <w:tr w:rsidR="00CE691B" w:rsidRPr="00AC3EE8" w:rsidTr="00850356">
        <w:tc>
          <w:tcPr>
            <w:tcW w:w="2016" w:type="dxa"/>
            <w:vMerge/>
            <w:vAlign w:val="center"/>
          </w:tcPr>
          <w:p w:rsidR="00CE691B" w:rsidRPr="00AC3EE8" w:rsidRDefault="00CE691B" w:rsidP="00CE691B"/>
        </w:tc>
        <w:tc>
          <w:tcPr>
            <w:tcW w:w="1948" w:type="dxa"/>
            <w:gridSpan w:val="2"/>
            <w:vMerge w:val="restart"/>
          </w:tcPr>
          <w:p w:rsidR="00CE691B" w:rsidRPr="00850356" w:rsidRDefault="00CE691B" w:rsidP="00CE691B">
            <w:pPr>
              <w:spacing w:before="60" w:after="60"/>
              <w:rPr>
                <w:rFonts w:ascii="Arial Narrow" w:eastAsiaTheme="minorEastAsia" w:hAnsi="Arial Narrow" w:cstheme="minorHAnsi"/>
                <w:sz w:val="18"/>
                <w:szCs w:val="18"/>
              </w:rPr>
            </w:pPr>
            <w:r w:rsidRPr="002D0B55">
              <w:rPr>
                <w:rFonts w:cstheme="minorHAnsi"/>
                <w:i/>
                <w:sz w:val="16"/>
                <w:szCs w:val="16"/>
              </w:rPr>
              <w:t>Construct evidence-based arguments and draw conclusions</w:t>
            </w: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 xml:space="preserve">Limited ability to distinguish between opinion, anecdote and evidence, and scientific and non-scientific ideas relevant to the selected bioethical issue. </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Some ability to distinguish between opinion, anecdote and evidence, and scientific and non-scientific ideas relevant to the selected bioethical issue.</w:t>
            </w: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Sound ability to distinguish between opinion, anecdote and evidence, and scientific and non-scientific ideas relevant to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Competent ability to distinguish between opinion, anecdote and evidence, and scientific and non-scientific ideas relevant to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Highly proficient ability to distinguish between opinion, anecdote and evidence, and scientific and non-scientific ideas relevant to the selected bioethical issue.</w:t>
            </w:r>
          </w:p>
        </w:tc>
      </w:tr>
      <w:tr w:rsidR="00CE691B" w:rsidRPr="00AC3EE8" w:rsidTr="00850356">
        <w:tc>
          <w:tcPr>
            <w:tcW w:w="2016" w:type="dxa"/>
            <w:vMerge/>
            <w:vAlign w:val="center"/>
          </w:tcPr>
          <w:p w:rsidR="00CE691B" w:rsidRPr="00AC3EE8" w:rsidRDefault="00CE691B" w:rsidP="00CE691B"/>
        </w:tc>
        <w:tc>
          <w:tcPr>
            <w:tcW w:w="1948" w:type="dxa"/>
            <w:gridSpan w:val="2"/>
            <w:vMerge/>
          </w:tcPr>
          <w:p w:rsidR="00CE691B" w:rsidRPr="00850356" w:rsidRDefault="00CE691B" w:rsidP="00CE691B">
            <w:pPr>
              <w:spacing w:before="60" w:after="60"/>
              <w:rPr>
                <w:rFonts w:ascii="Arial Narrow" w:hAnsi="Arial Narrow" w:cstheme="minorHAnsi"/>
                <w:i/>
                <w:sz w:val="18"/>
                <w:szCs w:val="18"/>
              </w:rPr>
            </w:pP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Very limited use of data and reasoning to construct scientific arguments and responses consistent with the evidence available for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Some appropriate selection and use of data and reasoning to construct scientific arguments and responses consistent with the evidence available for the selected bioethical issue.</w:t>
            </w:r>
          </w:p>
        </w:tc>
        <w:tc>
          <w:tcPr>
            <w:tcW w:w="2119"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Appropriate selection and use of data and reasoning to construct scientific arguments and responses consistent with the evidence available for the selected bioethical issue.</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 xml:space="preserve">Effective use of data and reasoning to construct scientific arguments and responses consistent with the evidence available for the selected bioethical issue. </w:t>
            </w:r>
          </w:p>
        </w:tc>
        <w:tc>
          <w:tcPr>
            <w:tcW w:w="2120" w:type="dxa"/>
          </w:tcPr>
          <w:p w:rsidR="00CE691B" w:rsidRPr="00CE691B" w:rsidRDefault="00CE691B" w:rsidP="00CE691B">
            <w:pPr>
              <w:spacing w:before="60" w:after="60"/>
              <w:rPr>
                <w:rFonts w:ascii="Arial Narrow" w:hAnsi="Arial Narrow" w:cstheme="minorHAnsi"/>
                <w:sz w:val="18"/>
                <w:szCs w:val="18"/>
              </w:rPr>
            </w:pPr>
            <w:r w:rsidRPr="00CE691B">
              <w:rPr>
                <w:rFonts w:ascii="Arial Narrow" w:hAnsi="Arial Narrow" w:cstheme="minorHAnsi"/>
                <w:sz w:val="18"/>
                <w:szCs w:val="18"/>
              </w:rPr>
              <w:t>Insightful selection and use of data and reasoning to construct scientific arguments and responses consistent with the evidence available for the selected bioethical issue.</w:t>
            </w:r>
          </w:p>
        </w:tc>
      </w:tr>
      <w:tr w:rsidR="00CC73CD" w:rsidRPr="00AC3EE8" w:rsidTr="00850356">
        <w:tc>
          <w:tcPr>
            <w:tcW w:w="2016" w:type="dxa"/>
            <w:vMerge/>
          </w:tcPr>
          <w:p w:rsidR="00CC73CD" w:rsidRPr="00AC3EE8" w:rsidRDefault="00CC73CD" w:rsidP="00CC73CD"/>
        </w:tc>
        <w:tc>
          <w:tcPr>
            <w:tcW w:w="1948" w:type="dxa"/>
            <w:gridSpan w:val="2"/>
            <w:vMerge w:val="restart"/>
          </w:tcPr>
          <w:p w:rsidR="00CC73CD" w:rsidRPr="00850356" w:rsidRDefault="00CC73CD" w:rsidP="00CC73CD">
            <w:pPr>
              <w:spacing w:before="60" w:after="60"/>
              <w:rPr>
                <w:rFonts w:ascii="Arial Narrow" w:hAnsi="Arial Narrow" w:cstheme="minorHAnsi"/>
                <w:i/>
                <w:sz w:val="18"/>
                <w:szCs w:val="18"/>
              </w:rPr>
            </w:pPr>
            <w:r w:rsidRPr="002D0B55">
              <w:rPr>
                <w:rFonts w:cstheme="minorHAnsi"/>
                <w:i/>
                <w:sz w:val="16"/>
                <w:szCs w:val="16"/>
              </w:rPr>
              <w:t>Analyse, evaluate and communicate scientific ideas</w:t>
            </w: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hAnsi="Arial Narrow" w:cstheme="minorHAnsi"/>
                <w:sz w:val="18"/>
                <w:szCs w:val="18"/>
              </w:rPr>
              <w:t>Very limited use of appropriate biological terminology, representations and conventions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hAnsi="Arial Narrow" w:cstheme="minorHAnsi"/>
                <w:sz w:val="18"/>
                <w:szCs w:val="18"/>
              </w:rPr>
              <w:t>Limited use of appropriate biological terminology, representations and conventions relevant to the selected bioethical issue.</w:t>
            </w: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hAnsi="Arial Narrow" w:cstheme="minorHAnsi"/>
                <w:sz w:val="18"/>
                <w:szCs w:val="18"/>
              </w:rPr>
              <w:t>Mostly appropriate biological terminology, representations and conventions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hAnsi="Arial Narrow" w:cstheme="minorHAnsi"/>
                <w:sz w:val="18"/>
                <w:szCs w:val="18"/>
              </w:rPr>
              <w:t>Effective and appropriate biological terminology, representations and conventions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hAnsi="Arial Narrow" w:cstheme="minorHAnsi"/>
                <w:sz w:val="18"/>
                <w:szCs w:val="18"/>
              </w:rPr>
              <w:t>Proficient and highly appropriate biological terminology, representations and conventions relevant to the selected bioethical issue.</w:t>
            </w:r>
          </w:p>
        </w:tc>
      </w:tr>
      <w:tr w:rsidR="00CC73CD" w:rsidRPr="00AC3EE8" w:rsidTr="00850356">
        <w:tc>
          <w:tcPr>
            <w:tcW w:w="2016" w:type="dxa"/>
            <w:vMerge/>
          </w:tcPr>
          <w:p w:rsidR="00CC73CD" w:rsidRPr="00AC3EE8" w:rsidRDefault="00CC73CD" w:rsidP="00CC73CD"/>
        </w:tc>
        <w:tc>
          <w:tcPr>
            <w:tcW w:w="1948" w:type="dxa"/>
            <w:gridSpan w:val="2"/>
            <w:vMerge/>
          </w:tcPr>
          <w:p w:rsidR="00CC73CD" w:rsidRPr="00850356" w:rsidRDefault="00CC73CD" w:rsidP="00CC73CD">
            <w:pPr>
              <w:spacing w:before="60" w:after="60"/>
              <w:rPr>
                <w:rFonts w:ascii="Arial Narrow" w:hAnsi="Arial Narrow" w:cstheme="minorHAnsi"/>
                <w:i/>
                <w:sz w:val="18"/>
                <w:szCs w:val="18"/>
              </w:rPr>
            </w:pP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 xml:space="preserve">Limited interpretation and discussion of biological information ideas, concepts, </w:t>
            </w:r>
            <w:r w:rsidRPr="00CC73CD">
              <w:rPr>
                <w:rFonts w:ascii="Arial Narrow" w:eastAsia="Calibri" w:hAnsi="Arial Narrow" w:cstheme="minorHAnsi"/>
                <w:sz w:val="18"/>
                <w:szCs w:val="18"/>
              </w:rPr>
              <w:lastRenderedPageBreak/>
              <w:t>relationships, theories and models and connections between them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lastRenderedPageBreak/>
              <w:t xml:space="preserve">Some appropriate interpretation and discussion of the biological information </w:t>
            </w:r>
            <w:r w:rsidRPr="00CC73CD">
              <w:rPr>
                <w:rFonts w:ascii="Arial Narrow" w:eastAsia="Calibri" w:hAnsi="Arial Narrow" w:cstheme="minorHAnsi"/>
                <w:sz w:val="18"/>
                <w:szCs w:val="18"/>
              </w:rPr>
              <w:lastRenderedPageBreak/>
              <w:t>ideas, concepts, relationships, theories and models and connections between them relevant to the selected bioethical issue.</w:t>
            </w: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lastRenderedPageBreak/>
              <w:t xml:space="preserve">Appropriate interpretation and discussion of the biological information ideas, </w:t>
            </w:r>
            <w:r w:rsidRPr="00CC73CD">
              <w:rPr>
                <w:rFonts w:ascii="Arial Narrow" w:eastAsia="Calibri" w:hAnsi="Arial Narrow" w:cstheme="minorHAnsi"/>
                <w:sz w:val="18"/>
                <w:szCs w:val="18"/>
              </w:rPr>
              <w:lastRenderedPageBreak/>
              <w:t>concepts, relationships, theories and models and connections between them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lastRenderedPageBreak/>
              <w:t xml:space="preserve">Detailed interpretation and discussion of the biological information ideas, concepts, </w:t>
            </w:r>
            <w:r w:rsidRPr="00CC73CD">
              <w:rPr>
                <w:rFonts w:ascii="Arial Narrow" w:eastAsia="Calibri" w:hAnsi="Arial Narrow" w:cstheme="minorHAnsi"/>
                <w:sz w:val="18"/>
                <w:szCs w:val="18"/>
              </w:rPr>
              <w:lastRenderedPageBreak/>
              <w:t>relationships, theories and models and connections between them relevant to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lastRenderedPageBreak/>
              <w:t xml:space="preserve">Insightful interpretation and discussion of the biological information ideas, concepts, </w:t>
            </w:r>
            <w:r w:rsidRPr="00CC73CD">
              <w:rPr>
                <w:rFonts w:ascii="Arial Narrow" w:eastAsia="Calibri" w:hAnsi="Arial Narrow" w:cstheme="minorHAnsi"/>
                <w:sz w:val="18"/>
                <w:szCs w:val="18"/>
              </w:rPr>
              <w:lastRenderedPageBreak/>
              <w:t>relationships, theories and models and connections between them relevant to the selected bioethical issue.</w:t>
            </w:r>
          </w:p>
        </w:tc>
      </w:tr>
      <w:tr w:rsidR="00CC73CD" w:rsidRPr="00AC3EE8" w:rsidTr="00850356">
        <w:tc>
          <w:tcPr>
            <w:tcW w:w="2016" w:type="dxa"/>
            <w:vMerge/>
          </w:tcPr>
          <w:p w:rsidR="00CC73CD" w:rsidRPr="00AC3EE8" w:rsidRDefault="00CC73CD" w:rsidP="00CC73CD"/>
        </w:tc>
        <w:tc>
          <w:tcPr>
            <w:tcW w:w="1948" w:type="dxa"/>
            <w:gridSpan w:val="2"/>
            <w:vMerge/>
          </w:tcPr>
          <w:p w:rsidR="00CC73CD" w:rsidRPr="00850356" w:rsidRDefault="00CC73CD" w:rsidP="00CC73CD">
            <w:pPr>
              <w:spacing w:before="60" w:after="60"/>
              <w:rPr>
                <w:rFonts w:ascii="Arial Narrow" w:hAnsi="Arial Narrow" w:cstheme="minorHAnsi"/>
                <w:i/>
                <w:sz w:val="18"/>
                <w:szCs w:val="18"/>
              </w:rPr>
            </w:pP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 xml:space="preserve">Limited interpretation and evaluation of information relevant to the selected bioethical issue presented in the public domain through selected scientific and media texts.  </w:t>
            </w:r>
          </w:p>
        </w:tc>
        <w:tc>
          <w:tcPr>
            <w:tcW w:w="2120" w:type="dxa"/>
          </w:tcPr>
          <w:p w:rsidR="00CC73CD" w:rsidRPr="00CC73CD" w:rsidRDefault="0030656E" w:rsidP="00CC73CD">
            <w:pPr>
              <w:spacing w:before="60" w:after="60"/>
              <w:rPr>
                <w:rFonts w:ascii="Arial Narrow" w:hAnsi="Arial Narrow" w:cstheme="minorHAnsi"/>
                <w:sz w:val="18"/>
                <w:szCs w:val="18"/>
              </w:rPr>
            </w:pPr>
            <w:r>
              <w:rPr>
                <w:rFonts w:ascii="Arial Narrow" w:eastAsia="Calibri" w:hAnsi="Arial Narrow" w:cstheme="minorHAnsi"/>
                <w:sz w:val="18"/>
                <w:szCs w:val="18"/>
              </w:rPr>
              <w:t xml:space="preserve">Some appropriate </w:t>
            </w:r>
            <w:r w:rsidR="00CC73CD" w:rsidRPr="00CC73CD">
              <w:rPr>
                <w:rFonts w:ascii="Arial Narrow" w:eastAsia="Calibri" w:hAnsi="Arial Narrow" w:cstheme="minorHAnsi"/>
                <w:sz w:val="18"/>
                <w:szCs w:val="18"/>
              </w:rPr>
              <w:t>interpretation and evaluation of information relevant to the selected bioethical issue presented in the public domain through selected scientific and media texts.</w:t>
            </w:r>
          </w:p>
        </w:tc>
        <w:tc>
          <w:tcPr>
            <w:tcW w:w="2119" w:type="dxa"/>
          </w:tcPr>
          <w:p w:rsidR="00CC73CD" w:rsidRPr="00CC73CD" w:rsidRDefault="0030656E" w:rsidP="00CC73CD">
            <w:pPr>
              <w:spacing w:before="60" w:after="60"/>
              <w:rPr>
                <w:rFonts w:ascii="Arial Narrow" w:hAnsi="Arial Narrow" w:cstheme="minorHAnsi"/>
                <w:sz w:val="18"/>
                <w:szCs w:val="18"/>
              </w:rPr>
            </w:pPr>
            <w:r>
              <w:rPr>
                <w:rFonts w:ascii="Arial Narrow" w:eastAsia="Calibri" w:hAnsi="Arial Narrow" w:cstheme="minorHAnsi"/>
                <w:sz w:val="18"/>
                <w:szCs w:val="18"/>
              </w:rPr>
              <w:t>Appropriate</w:t>
            </w:r>
            <w:r w:rsidRPr="00CC73CD">
              <w:rPr>
                <w:rFonts w:ascii="Arial Narrow" w:eastAsia="Calibri" w:hAnsi="Arial Narrow" w:cstheme="minorHAnsi"/>
                <w:sz w:val="18"/>
                <w:szCs w:val="18"/>
              </w:rPr>
              <w:t xml:space="preserve"> </w:t>
            </w:r>
            <w:r w:rsidR="00CC73CD" w:rsidRPr="00CC73CD">
              <w:rPr>
                <w:rFonts w:ascii="Arial Narrow" w:eastAsia="Calibri" w:hAnsi="Arial Narrow" w:cstheme="minorHAnsi"/>
                <w:sz w:val="18"/>
                <w:szCs w:val="18"/>
              </w:rPr>
              <w:t>interpretation and evaluation of information relevant to the selected bioethical issue presented in the public domain through selected scientific and media texts.</w:t>
            </w:r>
          </w:p>
        </w:tc>
        <w:tc>
          <w:tcPr>
            <w:tcW w:w="2120" w:type="dxa"/>
          </w:tcPr>
          <w:p w:rsidR="00CC73CD" w:rsidRPr="00CC73CD" w:rsidRDefault="0030656E" w:rsidP="00CC73CD">
            <w:pPr>
              <w:spacing w:before="60" w:after="60"/>
              <w:rPr>
                <w:rFonts w:ascii="Arial Narrow" w:hAnsi="Arial Narrow" w:cstheme="minorHAnsi"/>
                <w:sz w:val="18"/>
                <w:szCs w:val="18"/>
              </w:rPr>
            </w:pPr>
            <w:r>
              <w:rPr>
                <w:rFonts w:ascii="Arial Narrow" w:eastAsia="Calibri" w:hAnsi="Arial Narrow" w:cstheme="minorHAnsi"/>
                <w:sz w:val="18"/>
                <w:szCs w:val="18"/>
              </w:rPr>
              <w:t xml:space="preserve">Detailed </w:t>
            </w:r>
            <w:r w:rsidR="00CC73CD" w:rsidRPr="00CC73CD">
              <w:rPr>
                <w:rFonts w:ascii="Arial Narrow" w:eastAsia="Calibri" w:hAnsi="Arial Narrow" w:cstheme="minorHAnsi"/>
                <w:sz w:val="18"/>
                <w:szCs w:val="18"/>
              </w:rPr>
              <w:t xml:space="preserve">interpretation and evaluation of information relevant to the selected bioethical issue presented in the public domain through selected scientific and media texts. </w:t>
            </w:r>
          </w:p>
        </w:tc>
        <w:tc>
          <w:tcPr>
            <w:tcW w:w="2120" w:type="dxa"/>
          </w:tcPr>
          <w:p w:rsidR="00CC73CD" w:rsidRPr="00CC73CD" w:rsidRDefault="0030656E" w:rsidP="00CC73CD">
            <w:pPr>
              <w:spacing w:before="60" w:after="60"/>
              <w:rPr>
                <w:rFonts w:ascii="Arial Narrow" w:hAnsi="Arial Narrow" w:cstheme="minorHAnsi"/>
                <w:sz w:val="18"/>
                <w:szCs w:val="18"/>
              </w:rPr>
            </w:pPr>
            <w:bookmarkStart w:id="1" w:name="_GoBack"/>
            <w:bookmarkEnd w:id="1"/>
            <w:r>
              <w:rPr>
                <w:rFonts w:ascii="Arial Narrow" w:eastAsia="Calibri" w:hAnsi="Arial Narrow" w:cstheme="minorHAnsi"/>
                <w:sz w:val="18"/>
                <w:szCs w:val="18"/>
              </w:rPr>
              <w:t>Insightful</w:t>
            </w:r>
            <w:r w:rsidRPr="00CC73CD">
              <w:rPr>
                <w:rFonts w:ascii="Arial Narrow" w:eastAsia="Calibri" w:hAnsi="Arial Narrow" w:cstheme="minorHAnsi"/>
                <w:sz w:val="18"/>
                <w:szCs w:val="18"/>
              </w:rPr>
              <w:t xml:space="preserve"> </w:t>
            </w:r>
            <w:r w:rsidR="00CC73CD" w:rsidRPr="00CC73CD">
              <w:rPr>
                <w:rFonts w:ascii="Arial Narrow" w:eastAsia="Calibri" w:hAnsi="Arial Narrow" w:cstheme="minorHAnsi"/>
                <w:sz w:val="18"/>
                <w:szCs w:val="18"/>
              </w:rPr>
              <w:t xml:space="preserve">interpretation and evaluation of information relevant to the selected bioethical issue presented in the public domain through selected scientific and media texts.  </w:t>
            </w:r>
          </w:p>
        </w:tc>
      </w:tr>
      <w:tr w:rsidR="00CC73CD" w:rsidRPr="00AC3EE8" w:rsidTr="00850356">
        <w:tc>
          <w:tcPr>
            <w:tcW w:w="2016" w:type="dxa"/>
            <w:vMerge/>
          </w:tcPr>
          <w:p w:rsidR="00CC73CD" w:rsidRPr="00AC3EE8" w:rsidRDefault="00CC73CD" w:rsidP="00CC73CD"/>
        </w:tc>
        <w:tc>
          <w:tcPr>
            <w:tcW w:w="1948" w:type="dxa"/>
            <w:gridSpan w:val="2"/>
            <w:vMerge/>
          </w:tcPr>
          <w:p w:rsidR="00CC73CD" w:rsidRPr="00850356" w:rsidRDefault="00CC73CD" w:rsidP="00CC73CD">
            <w:pPr>
              <w:spacing w:before="60" w:after="60"/>
              <w:rPr>
                <w:rFonts w:ascii="Arial Narrow" w:hAnsi="Arial Narrow" w:cstheme="minorHAnsi"/>
                <w:i/>
                <w:sz w:val="18"/>
                <w:szCs w:val="18"/>
              </w:rPr>
            </w:pP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Limited identification and use of relevant approaches to bioethics and/or ethical concepts in the analysis and evaluation of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Some identification and use of relevant approaches to bioethics and/or ethical concepts in the analysis of the selected bioethical issue.</w:t>
            </w:r>
          </w:p>
        </w:tc>
        <w:tc>
          <w:tcPr>
            <w:tcW w:w="2119"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Appropriate identification and use of relevant approaches to bioethics and/or ethical concepts in the analysis of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Detailed identification and use of relevant approaches to bioethics and/or ethical concepts in the analysis of the selected bioethical issue.</w:t>
            </w:r>
          </w:p>
        </w:tc>
        <w:tc>
          <w:tcPr>
            <w:tcW w:w="2120" w:type="dxa"/>
          </w:tcPr>
          <w:p w:rsidR="00CC73CD" w:rsidRPr="00CC73CD" w:rsidRDefault="00CC73CD" w:rsidP="00CC73CD">
            <w:pPr>
              <w:spacing w:before="60" w:after="60"/>
              <w:rPr>
                <w:rFonts w:ascii="Arial Narrow" w:hAnsi="Arial Narrow" w:cstheme="minorHAnsi"/>
                <w:sz w:val="18"/>
                <w:szCs w:val="18"/>
              </w:rPr>
            </w:pPr>
            <w:r w:rsidRPr="00CC73CD">
              <w:rPr>
                <w:rFonts w:ascii="Arial Narrow" w:eastAsia="Calibri" w:hAnsi="Arial Narrow" w:cstheme="minorHAnsi"/>
                <w:sz w:val="18"/>
                <w:szCs w:val="18"/>
              </w:rPr>
              <w:t>Insightful identification and use of relevant approaches to bioethics and/or ethical concepts in the analysis of the selected bioethical issue.</w:t>
            </w:r>
          </w:p>
        </w:tc>
      </w:tr>
      <w:tr w:rsidR="00CC73CD" w:rsidRPr="00AC3EE8" w:rsidTr="00850356">
        <w:tc>
          <w:tcPr>
            <w:tcW w:w="2016" w:type="dxa"/>
            <w:vMerge/>
          </w:tcPr>
          <w:p w:rsidR="00CC73CD" w:rsidRPr="00AC3EE8" w:rsidRDefault="00CC73CD" w:rsidP="00CC73CD"/>
        </w:tc>
        <w:tc>
          <w:tcPr>
            <w:tcW w:w="1948" w:type="dxa"/>
            <w:gridSpan w:val="2"/>
            <w:vMerge/>
          </w:tcPr>
          <w:p w:rsidR="00CC73CD" w:rsidRPr="00850356" w:rsidRDefault="00CC73CD" w:rsidP="00CC73CD">
            <w:pPr>
              <w:spacing w:before="60" w:after="60"/>
              <w:rPr>
                <w:rFonts w:ascii="Arial Narrow" w:hAnsi="Arial Narrow" w:cstheme="minorHAnsi"/>
                <w:i/>
                <w:sz w:val="18"/>
                <w:szCs w:val="18"/>
              </w:rPr>
            </w:pPr>
          </w:p>
        </w:tc>
        <w:tc>
          <w:tcPr>
            <w:tcW w:w="2119" w:type="dxa"/>
          </w:tcPr>
          <w:p w:rsidR="00CC73CD" w:rsidRPr="00850356" w:rsidRDefault="00CC73CD" w:rsidP="00CC73CD">
            <w:pPr>
              <w:spacing w:before="60" w:after="60"/>
              <w:rPr>
                <w:rFonts w:ascii="Arial Narrow" w:eastAsia="Calibri" w:hAnsi="Arial Narrow" w:cstheme="minorHAnsi"/>
                <w:sz w:val="18"/>
                <w:szCs w:val="18"/>
              </w:rPr>
            </w:pPr>
            <w:r w:rsidRPr="002D0B55">
              <w:rPr>
                <w:rFonts w:eastAsia="Calibri" w:cstheme="minorHAnsi"/>
                <w:sz w:val="16"/>
                <w:szCs w:val="16"/>
              </w:rPr>
              <w:t>Limited use of relevant approaches to bioethics and</w:t>
            </w:r>
            <w:r>
              <w:rPr>
                <w:rFonts w:eastAsia="Calibri" w:cstheme="minorHAnsi"/>
                <w:sz w:val="16"/>
                <w:szCs w:val="16"/>
              </w:rPr>
              <w:t>/or</w:t>
            </w:r>
            <w:r w:rsidRPr="002D0B55">
              <w:rPr>
                <w:rFonts w:eastAsia="Calibri" w:cstheme="minorHAnsi"/>
                <w:sz w:val="16"/>
                <w:szCs w:val="16"/>
              </w:rPr>
              <w:t xml:space="preserve"> ethical concepts in developing and justifying a response to the selected bioethical issue.</w:t>
            </w:r>
          </w:p>
        </w:tc>
        <w:tc>
          <w:tcPr>
            <w:tcW w:w="2120" w:type="dxa"/>
          </w:tcPr>
          <w:p w:rsidR="00CC73CD" w:rsidRPr="00850356" w:rsidRDefault="00CC73CD" w:rsidP="00CC73CD">
            <w:pPr>
              <w:spacing w:before="60" w:after="60"/>
              <w:rPr>
                <w:rFonts w:ascii="Arial Narrow" w:eastAsia="Calibri" w:hAnsi="Arial Narrow" w:cstheme="minorHAnsi"/>
                <w:sz w:val="18"/>
                <w:szCs w:val="18"/>
              </w:rPr>
            </w:pPr>
            <w:r w:rsidRPr="002D0B55">
              <w:rPr>
                <w:rFonts w:eastAsia="Calibri" w:cstheme="minorHAnsi"/>
                <w:sz w:val="16"/>
                <w:szCs w:val="16"/>
              </w:rPr>
              <w:t>Some appropriate use of relevant approaches to bioethics and</w:t>
            </w:r>
            <w:r>
              <w:rPr>
                <w:rFonts w:eastAsia="Calibri" w:cstheme="minorHAnsi"/>
                <w:sz w:val="16"/>
                <w:szCs w:val="16"/>
              </w:rPr>
              <w:t>/or</w:t>
            </w:r>
            <w:r w:rsidRPr="002D0B55">
              <w:rPr>
                <w:rFonts w:eastAsia="Calibri" w:cstheme="minorHAnsi"/>
                <w:sz w:val="16"/>
                <w:szCs w:val="16"/>
              </w:rPr>
              <w:t xml:space="preserve"> ethical concepts in developing and justifying a response to the selected bioethical issue.</w:t>
            </w:r>
          </w:p>
        </w:tc>
        <w:tc>
          <w:tcPr>
            <w:tcW w:w="2119" w:type="dxa"/>
          </w:tcPr>
          <w:p w:rsidR="00CC73CD" w:rsidRPr="00850356" w:rsidRDefault="00CC73CD" w:rsidP="00CC73CD">
            <w:pPr>
              <w:spacing w:before="60" w:after="60"/>
              <w:rPr>
                <w:rFonts w:ascii="Arial Narrow" w:eastAsia="Calibri" w:hAnsi="Arial Narrow" w:cstheme="minorHAnsi"/>
                <w:sz w:val="18"/>
                <w:szCs w:val="18"/>
              </w:rPr>
            </w:pPr>
            <w:r w:rsidRPr="002D0B55">
              <w:rPr>
                <w:rFonts w:eastAsia="Calibri" w:cstheme="minorHAnsi"/>
                <w:sz w:val="16"/>
                <w:szCs w:val="16"/>
              </w:rPr>
              <w:t>Appropriate use of relevant approaches to bioethics and</w:t>
            </w:r>
            <w:r>
              <w:rPr>
                <w:rFonts w:eastAsia="Calibri" w:cstheme="minorHAnsi"/>
                <w:sz w:val="16"/>
                <w:szCs w:val="16"/>
              </w:rPr>
              <w:t>/or</w:t>
            </w:r>
            <w:r w:rsidRPr="002D0B55">
              <w:rPr>
                <w:rFonts w:eastAsia="Calibri" w:cstheme="minorHAnsi"/>
                <w:sz w:val="16"/>
                <w:szCs w:val="16"/>
              </w:rPr>
              <w:t xml:space="preserve"> ethical concepts in developing and justifying a response to the selected bioethical issue.</w:t>
            </w:r>
          </w:p>
        </w:tc>
        <w:tc>
          <w:tcPr>
            <w:tcW w:w="2120" w:type="dxa"/>
          </w:tcPr>
          <w:p w:rsidR="00CC73CD" w:rsidRPr="00850356" w:rsidRDefault="00CC73CD" w:rsidP="00CC73CD">
            <w:pPr>
              <w:spacing w:before="60" w:after="60"/>
              <w:rPr>
                <w:rFonts w:ascii="Arial Narrow" w:eastAsia="Calibri" w:hAnsi="Arial Narrow" w:cstheme="minorHAnsi"/>
                <w:sz w:val="18"/>
                <w:szCs w:val="18"/>
              </w:rPr>
            </w:pPr>
            <w:r w:rsidRPr="002D0B55">
              <w:rPr>
                <w:rFonts w:eastAsia="Calibri" w:cstheme="minorHAnsi"/>
                <w:sz w:val="16"/>
                <w:szCs w:val="16"/>
              </w:rPr>
              <w:t>Effective use of relevant approaches to bioethics and</w:t>
            </w:r>
            <w:r>
              <w:rPr>
                <w:rFonts w:eastAsia="Calibri" w:cstheme="minorHAnsi"/>
                <w:sz w:val="16"/>
                <w:szCs w:val="16"/>
              </w:rPr>
              <w:t>/or</w:t>
            </w:r>
            <w:r w:rsidRPr="002D0B55">
              <w:rPr>
                <w:rFonts w:eastAsia="Calibri" w:cstheme="minorHAnsi"/>
                <w:sz w:val="16"/>
                <w:szCs w:val="16"/>
              </w:rPr>
              <w:t xml:space="preserve"> ethical concepts in developing and justifying a response to the selected bioethical issue.</w:t>
            </w:r>
          </w:p>
        </w:tc>
        <w:tc>
          <w:tcPr>
            <w:tcW w:w="2120" w:type="dxa"/>
          </w:tcPr>
          <w:p w:rsidR="00CC73CD" w:rsidRPr="00850356" w:rsidRDefault="00CC73CD" w:rsidP="00CC73CD">
            <w:pPr>
              <w:spacing w:before="60" w:after="60"/>
              <w:rPr>
                <w:rFonts w:ascii="Arial Narrow" w:eastAsia="Calibri" w:hAnsi="Arial Narrow" w:cstheme="minorHAnsi"/>
                <w:sz w:val="18"/>
                <w:szCs w:val="18"/>
              </w:rPr>
            </w:pPr>
            <w:r w:rsidRPr="002D0B55">
              <w:rPr>
                <w:rFonts w:eastAsia="Calibri" w:cstheme="minorHAnsi"/>
                <w:sz w:val="16"/>
                <w:szCs w:val="16"/>
              </w:rPr>
              <w:t>Proficient use of relevant approaches to bioethics and</w:t>
            </w:r>
            <w:r>
              <w:rPr>
                <w:rFonts w:eastAsia="Calibri" w:cstheme="minorHAnsi"/>
                <w:sz w:val="16"/>
                <w:szCs w:val="16"/>
              </w:rPr>
              <w:t>/or</w:t>
            </w:r>
            <w:r w:rsidRPr="002D0B55">
              <w:rPr>
                <w:rFonts w:eastAsia="Calibri" w:cstheme="minorHAnsi"/>
                <w:sz w:val="16"/>
                <w:szCs w:val="16"/>
              </w:rPr>
              <w:t xml:space="preserve"> ethical concepts in developing and justifying a response to the selected bioethical issue.</w:t>
            </w:r>
          </w:p>
        </w:tc>
      </w:tr>
    </w:tbl>
    <w:p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rsidTr="00850356">
        <w:tc>
          <w:tcPr>
            <w:tcW w:w="2063" w:type="dxa"/>
            <w:vAlign w:val="center"/>
          </w:tcPr>
          <w:p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rsidR="008D74EF" w:rsidRDefault="008D74EF" w:rsidP="00850356">
      <w:pPr>
        <w:pStyle w:val="VCAAfigures"/>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52" w:rsidRDefault="00B53C52" w:rsidP="00304EA1">
      <w:pPr>
        <w:spacing w:after="0" w:line="240" w:lineRule="auto"/>
      </w:pPr>
      <w:r>
        <w:separator/>
      </w:r>
    </w:p>
  </w:endnote>
  <w:endnote w:type="continuationSeparator" w:id="0">
    <w:p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CE691B" w:rsidRPr="00D06414" w:rsidTr="00BB3BAB">
      <w:trPr>
        <w:trHeight w:val="476"/>
      </w:trPr>
      <w:tc>
        <w:tcPr>
          <w:tcW w:w="1667" w:type="pct"/>
          <w:tcMar>
            <w:left w:w="0" w:type="dxa"/>
            <w:right w:w="0" w:type="dxa"/>
          </w:tcMar>
        </w:tcPr>
        <w:p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CE691B" w:rsidRPr="00D06414" w:rsidTr="000F5AAF">
      <w:tc>
        <w:tcPr>
          <w:tcW w:w="1459" w:type="pct"/>
          <w:tcMar>
            <w:left w:w="0" w:type="dxa"/>
            <w:right w:w="0" w:type="dxa"/>
          </w:tcMar>
        </w:tcPr>
        <w:p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52" w:rsidRDefault="00B53C52" w:rsidP="00304EA1">
      <w:pPr>
        <w:spacing w:after="0" w:line="240" w:lineRule="auto"/>
      </w:pPr>
      <w:r>
        <w:separator/>
      </w:r>
    </w:p>
  </w:footnote>
  <w:footnote w:type="continuationSeparator" w:id="0">
    <w:p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1B" w:rsidRPr="00D86DE4" w:rsidRDefault="00D7790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045CF">
          <w:rPr>
            <w:color w:val="999999" w:themeColor="accent2"/>
          </w:rPr>
          <w:t>VCE Biology: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4F5A2"/>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66F6-6B8B-42DE-BEC7-57E4C805F0A0}"/>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1aab662d-a6b2-42d6-996b-a574723d1ad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Biology: Performance descriptors</vt:lpstr>
    </vt:vector>
  </TitlesOfParts>
  <Company>Victorian Curriculum and Assessment Authority</Company>
  <LinksUpToDate>false</LinksUpToDate>
  <CharactersWithSpaces>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Biology</dc:subject>
  <dc:creator>vcaa@education.vic.gov.au</dc:creator>
  <cp:keywords>biology, performance descriptors, bioethical</cp:keywords>
  <cp:lastModifiedBy>Julie Coleman</cp:lastModifiedBy>
  <cp:revision>2</cp:revision>
  <cp:lastPrinted>2015-05-15T02:36:00Z</cp:lastPrinted>
  <dcterms:created xsi:type="dcterms:W3CDTF">2022-03-07T05:01:00Z</dcterms:created>
  <dcterms:modified xsi:type="dcterms:W3CDTF">2022-03-07T05:01:00Z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