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02B4A64B" w:rsidR="00F4525C" w:rsidRDefault="004A677C" w:rsidP="009B61E5">
          <w:pPr>
            <w:pStyle w:val="VCAADocumenttitle"/>
          </w:pPr>
          <w:r>
            <w:t>VCE Chemistry</w:t>
          </w:r>
        </w:p>
      </w:sdtContent>
    </w:sdt>
    <w:p w14:paraId="74E62D52" w14:textId="3AFF47F9" w:rsidR="00243F0D" w:rsidRPr="00823962" w:rsidRDefault="00647655" w:rsidP="00BD2B91">
      <w:pPr>
        <w:pStyle w:val="VCAAHeading1"/>
      </w:pPr>
      <w:bookmarkStart w:id="0" w:name="TemplateOverview"/>
      <w:bookmarkEnd w:id="0"/>
      <w:r>
        <w:t>Examples of chemistry-based socio-scientific issues</w:t>
      </w:r>
    </w:p>
    <w:p w14:paraId="3D659880" w14:textId="4C46BF3D" w:rsidR="002754C1" w:rsidRPr="00A40966" w:rsidRDefault="00647655" w:rsidP="004A677C">
      <w:pPr>
        <w:pStyle w:val="VCAAbody"/>
        <w:spacing w:after="240"/>
      </w:pPr>
      <w:r>
        <w:rPr>
          <w:color w:val="auto"/>
        </w:rPr>
        <w:t xml:space="preserve">Socio-scientific issues can be used as contexts for exploring chemistry ideas across Units 1 to 4. </w:t>
      </w:r>
      <w:r w:rsidRPr="00214A55">
        <w:t>The following table gives some suggestions as to how students can make links between scientific concepts studied across Units 1 to 4 and relevant socio-scientific issues they may encounter in the media.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508"/>
        <w:gridCol w:w="6414"/>
      </w:tblGrid>
      <w:tr w:rsidR="00647655" w:rsidRPr="00214A55" w14:paraId="3175D667" w14:textId="77777777" w:rsidTr="0064765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F7EB4"/>
            <w:hideMark/>
          </w:tcPr>
          <w:p w14:paraId="31FD669F" w14:textId="77777777" w:rsidR="00647655" w:rsidRPr="00214A55" w:rsidRDefault="00647655" w:rsidP="00647655">
            <w:pPr>
              <w:pStyle w:val="VCAAtablecondensedheading"/>
              <w:rPr>
                <w:color w:val="000000"/>
                <w:lang w:eastAsia="en-AU"/>
              </w:rPr>
            </w:pPr>
            <w:r w:rsidRPr="00214A55">
              <w:rPr>
                <w:lang w:eastAsia="en-AU"/>
              </w:rPr>
              <w:t>Unit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F7EB4"/>
            <w:hideMark/>
          </w:tcPr>
          <w:p w14:paraId="6156C2B8" w14:textId="77777777" w:rsidR="00647655" w:rsidRPr="00214A55" w:rsidRDefault="00647655" w:rsidP="00647655">
            <w:pPr>
              <w:pStyle w:val="VCAAtablecondensedheading"/>
              <w:rPr>
                <w:color w:val="000000"/>
                <w:lang w:eastAsia="en-AU"/>
              </w:rPr>
            </w:pPr>
            <w:r w:rsidRPr="00214A55">
              <w:rPr>
                <w:lang w:eastAsia="en-AU"/>
              </w:rPr>
              <w:t>Concept 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F7EB4"/>
            <w:hideMark/>
          </w:tcPr>
          <w:p w14:paraId="5878E854" w14:textId="77777777" w:rsidR="00647655" w:rsidRPr="00214A55" w:rsidRDefault="00647655" w:rsidP="00647655">
            <w:pPr>
              <w:pStyle w:val="VCAAtablecondensedheading"/>
              <w:rPr>
                <w:color w:val="000000"/>
                <w:lang w:eastAsia="en-AU"/>
              </w:rPr>
            </w:pPr>
            <w:r w:rsidRPr="00214A55">
              <w:rPr>
                <w:lang w:eastAsia="en-AU"/>
              </w:rPr>
              <w:t>Issues </w:t>
            </w:r>
          </w:p>
        </w:tc>
      </w:tr>
      <w:tr w:rsidR="00647655" w:rsidRPr="00214A55" w14:paraId="2EDF5EEA" w14:textId="77777777" w:rsidTr="00BA2D67"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EF8E0" w14:textId="77777777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>1 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A4B94" w14:textId="3DE07EB5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 xml:space="preserve">Recycling and </w:t>
            </w:r>
            <w:r>
              <w:rPr>
                <w:lang w:eastAsia="en-AU"/>
              </w:rPr>
              <w:t>c</w:t>
            </w:r>
            <w:r w:rsidRPr="00214A55">
              <w:rPr>
                <w:lang w:eastAsia="en-AU"/>
              </w:rPr>
              <w:t>ircular economies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21EAB" w14:textId="77777777" w:rsidR="00647655" w:rsidRPr="00E153C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val="en-GB" w:eastAsia="en-AU"/>
              </w:rPr>
              <w:t xml:space="preserve">Critical or ‘endangered’ elements are a great case study for the sustainable use of materials, including through recycling. Students could investigate which elements are </w:t>
            </w:r>
            <w:hyperlink r:id="rId11" w:history="1">
              <w:r w:rsidRPr="00647655">
                <w:rPr>
                  <w:rStyle w:val="Hyperlink"/>
                  <w:rFonts w:eastAsia="Times New Roman"/>
                  <w:lang w:val="en-GB" w:eastAsia="en-AU"/>
                </w:rPr>
                <w:t>‘critical’ elements</w:t>
              </w:r>
            </w:hyperlink>
            <w:r w:rsidRPr="00214A55">
              <w:rPr>
                <w:lang w:val="en-GB" w:eastAsia="en-AU"/>
              </w:rPr>
              <w:t>, ways they can be classified, how different nations might classify them differently</w:t>
            </w:r>
            <w:r>
              <w:rPr>
                <w:lang w:val="en-GB" w:eastAsia="en-AU"/>
              </w:rPr>
              <w:t>,</w:t>
            </w:r>
            <w:r w:rsidRPr="00214A55">
              <w:rPr>
                <w:lang w:val="en-GB" w:eastAsia="en-AU"/>
              </w:rPr>
              <w:t xml:space="preserve"> and </w:t>
            </w:r>
            <w:hyperlink r:id="rId12" w:history="1">
              <w:r w:rsidRPr="00647655">
                <w:rPr>
                  <w:rStyle w:val="Hyperlink"/>
                  <w:rFonts w:eastAsia="Times New Roman"/>
                  <w:lang w:val="en-GB" w:eastAsia="en-AU"/>
                </w:rPr>
                <w:t>what the elements are used for</w:t>
              </w:r>
              <w:r w:rsidRPr="00675758">
                <w:rPr>
                  <w:rStyle w:val="Hyperlink"/>
                  <w:rFonts w:ascii="Arial" w:eastAsia="Times New Roman" w:hAnsi="Arial"/>
                  <w:lang w:val="en-GB" w:eastAsia="en-AU"/>
                </w:rPr>
                <w:t>.</w:t>
              </w:r>
            </w:hyperlink>
          </w:p>
        </w:tc>
      </w:tr>
      <w:tr w:rsidR="00647655" w:rsidRPr="00214A55" w14:paraId="06428ACD" w14:textId="77777777" w:rsidTr="00BA2D67"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48F3D9" w14:textId="77777777" w:rsidR="00647655" w:rsidRPr="00214A55" w:rsidRDefault="00647655" w:rsidP="00BA2D6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7E891" w14:textId="4EA9329A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>Organic chemistry in everyday life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1D984" w14:textId="77777777" w:rsidR="00647655" w:rsidRPr="00E153C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>Students can investigate everyday materials (e.g. fabrics, polymers used in building), identifying types of organic materials</w:t>
            </w:r>
            <w:r>
              <w:rPr>
                <w:lang w:eastAsia="en-AU"/>
              </w:rPr>
              <w:t>)</w:t>
            </w:r>
            <w:r w:rsidRPr="00214A55">
              <w:rPr>
                <w:lang w:eastAsia="en-AU"/>
              </w:rPr>
              <w:t xml:space="preserve"> and compar</w:t>
            </w:r>
            <w:r>
              <w:rPr>
                <w:lang w:eastAsia="en-AU"/>
              </w:rPr>
              <w:t>ing</w:t>
            </w:r>
            <w:r w:rsidRPr="00214A55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 xml:space="preserve">similarities and differences between the </w:t>
            </w:r>
            <w:r w:rsidRPr="00214A55">
              <w:rPr>
                <w:lang w:eastAsia="en-AU"/>
              </w:rPr>
              <w:t xml:space="preserve">properties </w:t>
            </w:r>
            <w:r>
              <w:rPr>
                <w:lang w:eastAsia="en-AU"/>
              </w:rPr>
              <w:t>of</w:t>
            </w:r>
            <w:r w:rsidRPr="00214A55">
              <w:rPr>
                <w:lang w:eastAsia="en-AU"/>
              </w:rPr>
              <w:t xml:space="preserve"> synthetic and natural alternatives</w:t>
            </w:r>
            <w:r>
              <w:rPr>
                <w:lang w:eastAsia="en-AU"/>
              </w:rPr>
              <w:t>;</w:t>
            </w:r>
            <w:r w:rsidRPr="00214A55">
              <w:rPr>
                <w:lang w:eastAsia="en-AU"/>
              </w:rPr>
              <w:t xml:space="preserve"> they can compare benefits, health effects and environmental impacts through a products life cycle</w:t>
            </w:r>
            <w:r>
              <w:rPr>
                <w:lang w:eastAsia="en-AU"/>
              </w:rPr>
              <w:t>.</w:t>
            </w:r>
          </w:p>
        </w:tc>
      </w:tr>
      <w:tr w:rsidR="00647655" w:rsidRPr="00214A55" w14:paraId="51075991" w14:textId="77777777" w:rsidTr="00BA2D67"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3990A" w14:textId="77777777" w:rsidR="00647655" w:rsidRPr="00214A55" w:rsidRDefault="00647655" w:rsidP="00BA2D6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D9F7D" w14:textId="198CEE93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>Role of innovation in addressing society’s nutritional needs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C376F" w14:textId="77777777" w:rsidR="00647655" w:rsidRPr="00E153C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 xml:space="preserve">Students can investigate the </w:t>
            </w:r>
            <w:r>
              <w:rPr>
                <w:lang w:eastAsia="en-AU"/>
              </w:rPr>
              <w:t>chemicals</w:t>
            </w:r>
            <w:r w:rsidRPr="00214A55">
              <w:rPr>
                <w:lang w:eastAsia="en-AU"/>
              </w:rPr>
              <w:t xml:space="preserve"> produced </w:t>
            </w:r>
            <w:r>
              <w:rPr>
                <w:lang w:eastAsia="en-AU"/>
              </w:rPr>
              <w:t xml:space="preserve">in highest quantities </w:t>
            </w:r>
            <w:r w:rsidRPr="00214A55">
              <w:rPr>
                <w:lang w:eastAsia="en-AU"/>
              </w:rPr>
              <w:t xml:space="preserve">worldwide, such as ammonia and sulfuric acid, to consider the myriad of ways a particular chemical </w:t>
            </w:r>
            <w:r>
              <w:rPr>
                <w:lang w:eastAsia="en-AU"/>
              </w:rPr>
              <w:t>is involved in their</w:t>
            </w:r>
            <w:r w:rsidRPr="00214A55">
              <w:rPr>
                <w:lang w:eastAsia="en-AU"/>
              </w:rPr>
              <w:t xml:space="preserve"> lives. Ammonia is used to produce fertilisers to feed crops, but today the hydrogen utilised in the Haber-Bosch </w:t>
            </w:r>
            <w:r>
              <w:rPr>
                <w:lang w:eastAsia="en-AU"/>
              </w:rPr>
              <w:t xml:space="preserve">process </w:t>
            </w:r>
            <w:r w:rsidRPr="00214A55">
              <w:rPr>
                <w:lang w:eastAsia="en-AU"/>
              </w:rPr>
              <w:t>comes itself from fossil fuels. As such</w:t>
            </w:r>
            <w:r>
              <w:rPr>
                <w:lang w:eastAsia="en-AU"/>
              </w:rPr>
              <w:t>,</w:t>
            </w:r>
            <w:r w:rsidRPr="00214A55">
              <w:rPr>
                <w:lang w:eastAsia="en-AU"/>
              </w:rPr>
              <w:t xml:space="preserve"> food is effectively a product of fossil fuel utilisation. Innovative projects, including from Australian researchers, </w:t>
            </w:r>
            <w:r>
              <w:rPr>
                <w:lang w:eastAsia="en-AU"/>
              </w:rPr>
              <w:t>are</w:t>
            </w:r>
            <w:r w:rsidRPr="00214A55">
              <w:rPr>
                <w:lang w:eastAsia="en-AU"/>
              </w:rPr>
              <w:t xml:space="preserve"> focusing on producing ‘green’ sources of hydrogen</w:t>
            </w:r>
            <w:r>
              <w:rPr>
                <w:lang w:eastAsia="en-AU"/>
              </w:rPr>
              <w:t>.</w:t>
            </w:r>
          </w:p>
        </w:tc>
      </w:tr>
      <w:tr w:rsidR="00647655" w:rsidRPr="00214A55" w14:paraId="4F8AE2D8" w14:textId="77777777" w:rsidTr="00BA2D67">
        <w:trPr>
          <w:trHeight w:val="686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3EB04" w14:textId="77777777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>2 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99F54" w14:textId="752EBF79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>Acids in the environment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22F3B" w14:textId="77777777" w:rsidR="00647655" w:rsidRPr="00E153C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val="en-GB" w:eastAsia="en-AU"/>
              </w:rPr>
              <w:t xml:space="preserve">Students could investigate </w:t>
            </w:r>
            <w:hyperlink r:id="rId13" w:history="1">
              <w:r w:rsidRPr="00647655">
                <w:rPr>
                  <w:rStyle w:val="Hyperlink"/>
                  <w:rFonts w:eastAsia="Times New Roman"/>
                  <w:lang w:val="en-GB" w:eastAsia="en-AU"/>
                </w:rPr>
                <w:t>acid rain or ocean acidification</w:t>
              </w:r>
            </w:hyperlink>
            <w:r w:rsidRPr="00214A55">
              <w:rPr>
                <w:lang w:val="en-GB" w:eastAsia="en-AU"/>
              </w:rPr>
              <w:t xml:space="preserve"> as examples of the </w:t>
            </w:r>
            <w:hyperlink r:id="rId14" w:history="1">
              <w:r w:rsidRPr="00647655">
                <w:rPr>
                  <w:rStyle w:val="Hyperlink"/>
                  <w:rFonts w:eastAsia="Times New Roman"/>
                  <w:lang w:val="en-GB" w:eastAsia="en-AU"/>
                </w:rPr>
                <w:t>impact of acids in the environment</w:t>
              </w:r>
            </w:hyperlink>
            <w:r w:rsidRPr="00647655">
              <w:rPr>
                <w:lang w:val="en-GB" w:eastAsia="en-AU"/>
              </w:rPr>
              <w:t>.</w:t>
            </w:r>
          </w:p>
        </w:tc>
      </w:tr>
      <w:tr w:rsidR="00647655" w:rsidRPr="00214A55" w14:paraId="61AF9501" w14:textId="77777777" w:rsidTr="00BA2D67"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2D4E6A" w14:textId="77777777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1FD97" w14:textId="641E3045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>Redox chemistry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A449A" w14:textId="77777777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val="en-GB" w:eastAsia="en-AU"/>
              </w:rPr>
              <w:t xml:space="preserve">Students could investigate simple primary cells, including </w:t>
            </w:r>
            <w:r>
              <w:rPr>
                <w:lang w:val="en-GB" w:eastAsia="en-AU"/>
              </w:rPr>
              <w:t xml:space="preserve">the </w:t>
            </w:r>
            <w:r w:rsidRPr="00214A55">
              <w:rPr>
                <w:lang w:val="en-GB" w:eastAsia="en-AU"/>
              </w:rPr>
              <w:t>benefits and environmental effects of disposal</w:t>
            </w:r>
            <w:r>
              <w:rPr>
                <w:lang w:val="en-GB" w:eastAsia="en-AU"/>
              </w:rPr>
              <w:t>.</w:t>
            </w:r>
          </w:p>
          <w:p w14:paraId="00268B03" w14:textId="77777777" w:rsidR="00647655" w:rsidRPr="00E153C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>S</w:t>
            </w:r>
            <w:r w:rsidRPr="00214A55">
              <w:rPr>
                <w:lang w:val="en-GB" w:eastAsia="en-AU"/>
              </w:rPr>
              <w:t xml:space="preserve">tudents could investigate the effects of corrosion and modes of prevention, </w:t>
            </w:r>
            <w:r>
              <w:rPr>
                <w:lang w:val="en-GB" w:eastAsia="en-AU"/>
              </w:rPr>
              <w:t xml:space="preserve">as well as </w:t>
            </w:r>
            <w:r w:rsidRPr="00214A55">
              <w:rPr>
                <w:lang w:val="en-GB" w:eastAsia="en-AU"/>
              </w:rPr>
              <w:t xml:space="preserve">factors that affect </w:t>
            </w:r>
            <w:r>
              <w:rPr>
                <w:lang w:val="en-GB" w:eastAsia="en-AU"/>
              </w:rPr>
              <w:t xml:space="preserve">the </w:t>
            </w:r>
            <w:r w:rsidRPr="00214A55">
              <w:rPr>
                <w:lang w:val="en-GB" w:eastAsia="en-AU"/>
              </w:rPr>
              <w:t>rate of corrosion</w:t>
            </w:r>
            <w:r>
              <w:rPr>
                <w:lang w:val="en-GB" w:eastAsia="en-AU"/>
              </w:rPr>
              <w:t>.</w:t>
            </w:r>
          </w:p>
        </w:tc>
      </w:tr>
      <w:tr w:rsidR="00647655" w:rsidRPr="00214A55" w14:paraId="1D111CDA" w14:textId="77777777" w:rsidTr="00BA2D67"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439EF" w14:textId="77777777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E69CA" w14:textId="09963FE7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>Clean drinking water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D4F8A" w14:textId="77777777" w:rsidR="00647655" w:rsidRPr="00214A55" w:rsidRDefault="00647655" w:rsidP="00647655">
            <w:pPr>
              <w:pStyle w:val="VCAAtablecondensed"/>
              <w:rPr>
                <w:lang w:val="en-GB" w:eastAsia="en-AU"/>
              </w:rPr>
            </w:pPr>
            <w:r w:rsidRPr="00214A55">
              <w:rPr>
                <w:lang w:eastAsia="en-AU"/>
              </w:rPr>
              <w:t>Students could investigate clean drinking water and common pollutants that lead it to be a leading issue for some nations</w:t>
            </w:r>
            <w:r>
              <w:rPr>
                <w:lang w:eastAsia="en-AU"/>
              </w:rPr>
              <w:t>.</w:t>
            </w:r>
          </w:p>
        </w:tc>
      </w:tr>
      <w:tr w:rsidR="00647655" w:rsidRPr="00214A55" w14:paraId="4B363C57" w14:textId="77777777" w:rsidTr="00BA2D67"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8CA81E" w14:textId="77777777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AF8F3" w14:textId="61A171C3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>Energy generation from renewable and non-renewable fuels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D70A6" w14:textId="77777777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val="en-GB" w:eastAsia="en-AU"/>
              </w:rPr>
              <w:t xml:space="preserve">Students could investigate greenhouse </w:t>
            </w:r>
            <w:r w:rsidRPr="00214A55">
              <w:rPr>
                <w:lang w:eastAsia="en-AU"/>
              </w:rPr>
              <w:t>gas emissions generated by the combustion of different fuels and other environmental impacts</w:t>
            </w:r>
            <w:r>
              <w:rPr>
                <w:lang w:eastAsia="en-AU"/>
              </w:rPr>
              <w:t>,</w:t>
            </w:r>
            <w:r w:rsidRPr="00214A55">
              <w:rPr>
                <w:lang w:eastAsia="en-AU"/>
              </w:rPr>
              <w:t xml:space="preserve"> and compare the renewability of fuel sources</w:t>
            </w:r>
            <w:r>
              <w:rPr>
                <w:lang w:eastAsia="en-AU"/>
              </w:rPr>
              <w:t>.</w:t>
            </w:r>
          </w:p>
          <w:p w14:paraId="0B475937" w14:textId="77777777" w:rsidR="00647655" w:rsidRPr="00214A55" w:rsidRDefault="00647655" w:rsidP="00647655">
            <w:pPr>
              <w:pStyle w:val="VCAAtablecondensed"/>
              <w:rPr>
                <w:lang w:val="en-GB" w:eastAsia="en-AU"/>
              </w:rPr>
            </w:pPr>
            <w:r w:rsidRPr="00214A55">
              <w:rPr>
                <w:lang w:eastAsia="en-AU"/>
              </w:rPr>
              <w:t xml:space="preserve">Students </w:t>
            </w:r>
            <w:r>
              <w:rPr>
                <w:lang w:eastAsia="en-AU"/>
              </w:rPr>
              <w:t xml:space="preserve">can undertake experiments related to the ongoing implementation of </w:t>
            </w:r>
            <w:hyperlink r:id="rId15" w:history="1">
              <w:r w:rsidRPr="00647655">
                <w:rPr>
                  <w:rStyle w:val="Hyperlink"/>
                  <w:rFonts w:eastAsia="Times New Roman"/>
                  <w:lang w:eastAsia="en-AU"/>
                </w:rPr>
                <w:t>hydrogen as a fuel</w:t>
              </w:r>
            </w:hyperlink>
            <w:r w:rsidRPr="00647655">
              <w:rPr>
                <w:lang w:eastAsia="en-AU"/>
              </w:rPr>
              <w:t xml:space="preserve"> and</w:t>
            </w:r>
            <w:r>
              <w:rPr>
                <w:lang w:eastAsia="en-AU"/>
              </w:rPr>
              <w:t xml:space="preserve"> therefore </w:t>
            </w:r>
            <w:r w:rsidRPr="00214A55">
              <w:rPr>
                <w:lang w:eastAsia="en-AU"/>
              </w:rPr>
              <w:t xml:space="preserve">examine the production of ‘green’ hydrogen and </w:t>
            </w:r>
            <w:r>
              <w:rPr>
                <w:lang w:eastAsia="en-AU"/>
              </w:rPr>
              <w:t>the</w:t>
            </w:r>
            <w:r w:rsidRPr="00647655">
              <w:rPr>
                <w:lang w:eastAsia="en-AU"/>
              </w:rPr>
              <w:t xml:space="preserve"> </w:t>
            </w:r>
            <w:hyperlink r:id="rId16" w:history="1">
              <w:r w:rsidRPr="00647655">
                <w:rPr>
                  <w:rStyle w:val="Hyperlink"/>
                  <w:rFonts w:eastAsia="Times New Roman"/>
                  <w:lang w:eastAsia="en-AU"/>
                </w:rPr>
                <w:t>viability of it in Australia.</w:t>
              </w:r>
            </w:hyperlink>
          </w:p>
        </w:tc>
      </w:tr>
      <w:tr w:rsidR="00647655" w:rsidRPr="00214A55" w14:paraId="60511425" w14:textId="77777777" w:rsidTr="00BA2D67"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5B9A2" w14:textId="77777777" w:rsidR="00647655" w:rsidRDefault="00647655" w:rsidP="00647655">
            <w:pPr>
              <w:pStyle w:val="VCAAtablecondensed"/>
              <w:rPr>
                <w:lang w:eastAsia="en-AU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F6880" w14:textId="4C07166F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>Role of innovation in addressing society’s energy needs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8B8AA" w14:textId="77777777" w:rsidR="00647655" w:rsidRPr="00E153C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 xml:space="preserve">Students could examine novel and innovative fuel cells that address society’s energy needs with reference to green energy principles (e.g. from biofuel cells that operate in the human body, to </w:t>
            </w:r>
            <w:r>
              <w:rPr>
                <w:lang w:eastAsia="en-AU"/>
              </w:rPr>
              <w:t>large-scale</w:t>
            </w:r>
            <w:r w:rsidRPr="00214A55">
              <w:rPr>
                <w:lang w:eastAsia="en-AU"/>
              </w:rPr>
              <w:t xml:space="preserve"> fuel cells in vehicles)</w:t>
            </w:r>
            <w:r>
              <w:rPr>
                <w:lang w:eastAsia="en-AU"/>
              </w:rPr>
              <w:t>.</w:t>
            </w:r>
          </w:p>
        </w:tc>
      </w:tr>
      <w:tr w:rsidR="00647655" w:rsidRPr="00214A55" w14:paraId="1A7BDFF0" w14:textId="77777777" w:rsidTr="00BA2D67"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7EA6BC" w14:textId="77777777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F8E20" w14:textId="46F48E05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>Sustainable production of chemicals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C231C" w14:textId="77777777" w:rsidR="00647655" w:rsidRPr="00CE7872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>Students could investigate the production of various chemicals</w:t>
            </w:r>
            <w:r>
              <w:rPr>
                <w:lang w:eastAsia="en-AU"/>
              </w:rPr>
              <w:t>,</w:t>
            </w:r>
            <w:r w:rsidRPr="00214A55">
              <w:rPr>
                <w:lang w:eastAsia="en-AU"/>
              </w:rPr>
              <w:t xml:space="preserve"> including medicines from a green chemistry perspective (including calculating atom economy)</w:t>
            </w:r>
            <w:r>
              <w:rPr>
                <w:lang w:eastAsia="en-AU"/>
              </w:rPr>
              <w:t>.</w:t>
            </w:r>
          </w:p>
        </w:tc>
      </w:tr>
      <w:tr w:rsidR="00647655" w:rsidRPr="00214A55" w14:paraId="33397595" w14:textId="77777777" w:rsidTr="00BA2D67"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AA9D8" w14:textId="77777777" w:rsidR="00647655" w:rsidRDefault="00647655" w:rsidP="00BA2D6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28B06" w14:textId="77777777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>Medicinal chemistry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C50ED" w14:textId="77777777" w:rsidR="00647655" w:rsidRPr="00214A55" w:rsidRDefault="00647655" w:rsidP="00647655">
            <w:pPr>
              <w:pStyle w:val="VCAAtablecondensed"/>
              <w:rPr>
                <w:lang w:eastAsia="en-AU"/>
              </w:rPr>
            </w:pPr>
            <w:r w:rsidRPr="00214A55">
              <w:rPr>
                <w:lang w:eastAsia="en-AU"/>
              </w:rPr>
              <w:t xml:space="preserve">Students could investigate a range of natural plant compounds that can be </w:t>
            </w:r>
            <w:hyperlink r:id="rId17" w:history="1">
              <w:r w:rsidRPr="00647655">
                <w:rPr>
                  <w:rStyle w:val="Hyperlink"/>
                  <w:rFonts w:eastAsia="Times New Roman"/>
                  <w:lang w:eastAsia="en-AU"/>
                </w:rPr>
                <w:t>extracted from plants and the surrounding ethical issues over biopiracy.</w:t>
              </w:r>
            </w:hyperlink>
          </w:p>
        </w:tc>
      </w:tr>
    </w:tbl>
    <w:p w14:paraId="2B976676" w14:textId="2C206B84" w:rsidR="002647BB" w:rsidRPr="003A00B4" w:rsidRDefault="002647BB" w:rsidP="004A677C">
      <w:pPr>
        <w:pStyle w:val="VCAAbody"/>
        <w:rPr>
          <w:noProof/>
        </w:rPr>
      </w:pPr>
    </w:p>
    <w:sectPr w:rsidR="002647BB" w:rsidRPr="003A00B4" w:rsidSect="00B230DB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65A5D40" w:rsidR="00FD29D3" w:rsidRPr="00D86DE4" w:rsidRDefault="00BA06D6" w:rsidP="004A677C">
    <w:pPr>
      <w:pStyle w:val="VCAAcaptionsandfootnotes"/>
      <w:tabs>
        <w:tab w:val="right" w:pos="9498"/>
      </w:tabs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677C">
          <w:rPr>
            <w:color w:val="999999" w:themeColor="accent2"/>
          </w:rPr>
          <w:t>VCE Chemistry</w:t>
        </w:r>
      </w:sdtContent>
    </w:sdt>
    <w:r w:rsidR="00FD29D3">
      <w:rPr>
        <w:color w:val="999999" w:themeColor="accent2"/>
      </w:rPr>
      <w:tab/>
    </w:r>
    <w:r>
      <w:rPr>
        <w:color w:val="999999" w:themeColor="accent2"/>
      </w:rPr>
      <w:t>Examples of chemistry-based socio-scientific issues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6EF4"/>
    <w:multiLevelType w:val="hybridMultilevel"/>
    <w:tmpl w:val="9C8C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80511C"/>
    <w:multiLevelType w:val="hybridMultilevel"/>
    <w:tmpl w:val="F2EA9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A677C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47655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C01BE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A06D6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647655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aa.gov/education/resource-collections/ocean-coasts/ocean-acidificatio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acs.org/content/acs/en/greenchemistry/research-innovation/endangered-elements.html" TargetMode="External"/><Relationship Id="rId17" Type="http://schemas.openxmlformats.org/officeDocument/2006/relationships/hyperlink" Target="https://newsroom.unsw.edu.au/news/social-affairs/protecting-indigenous-bush-foods-and-medicines-against-biopir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2council.com.au/about-hydrogen/resourc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s.umich.edu/factsheets/critical-materials-factshee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fchgo.eu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astadapt.com.au/ocean-acidification-and-its-effect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76384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4C42E3-4E82-4C4C-8C52-63AD056DBE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Chemistry</vt:lpstr>
    </vt:vector>
  </TitlesOfParts>
  <Company>Victorian Curriculum and Assessment Authority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Chemistry</dc:title>
  <dc:subject>VCE Chemistry</dc:subject>
  <dc:creator>vcaa@education.vic.gov.au</dc:creator>
  <cp:keywords>Chemistry, VCE, socio-scientific issues, examples</cp:keywords>
  <cp:lastModifiedBy>Julie Coleman</cp:lastModifiedBy>
  <cp:revision>3</cp:revision>
  <cp:lastPrinted>2015-05-15T02:36:00Z</cp:lastPrinted>
  <dcterms:created xsi:type="dcterms:W3CDTF">2022-09-20T00:04:00Z</dcterms:created>
  <dcterms:modified xsi:type="dcterms:W3CDTF">2022-09-20T00:04:00Z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