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F80" w14:textId="2BA07BC2" w:rsidR="00F4525C" w:rsidRDefault="00242AC0" w:rsidP="00CC73CD">
      <w:pPr>
        <w:pStyle w:val="VCAAHeading1"/>
        <w:spacing w:before="0" w:after="240"/>
      </w:pPr>
      <w:r>
        <w:t xml:space="preserve">VCE </w:t>
      </w:r>
      <w:r w:rsidR="00241C58">
        <w:t>Chinese Language, Culture and Society</w:t>
      </w:r>
      <w:r>
        <w:t xml:space="preserve">: </w:t>
      </w:r>
      <w:r w:rsidR="008D74EF">
        <w:t>Performance descriptors</w:t>
      </w:r>
    </w:p>
    <w:tbl>
      <w:tblPr>
        <w:tblStyle w:val="TableGrid"/>
        <w:tblW w:w="0" w:type="auto"/>
        <w:tblLayout w:type="fixed"/>
        <w:tblLook w:val="04A0" w:firstRow="1" w:lastRow="0" w:firstColumn="1" w:lastColumn="0" w:noHBand="0" w:noVBand="1"/>
      </w:tblPr>
      <w:tblGrid>
        <w:gridCol w:w="2689"/>
        <w:gridCol w:w="2466"/>
        <w:gridCol w:w="2466"/>
        <w:gridCol w:w="2467"/>
        <w:gridCol w:w="2466"/>
        <w:gridCol w:w="2467"/>
      </w:tblGrid>
      <w:tr w:rsidR="00241C58" w:rsidRPr="00AC3EE8" w14:paraId="23B73769" w14:textId="77777777" w:rsidTr="00241C58">
        <w:tc>
          <w:tcPr>
            <w:tcW w:w="2689" w:type="dxa"/>
            <w:vMerge w:val="restart"/>
            <w:vAlign w:val="center"/>
          </w:tcPr>
          <w:p w14:paraId="0607C206" w14:textId="0CC868D7" w:rsidR="00241C58" w:rsidRPr="00241C58" w:rsidRDefault="00241C58" w:rsidP="00850356">
            <w:pPr>
              <w:rPr>
                <w:rFonts w:ascii="Arial Narrow" w:eastAsia="Calibri" w:hAnsi="Arial Narrow" w:cs="Cordia New"/>
                <w:b/>
                <w:bCs/>
                <w:sz w:val="20"/>
                <w:szCs w:val="20"/>
              </w:rPr>
            </w:pPr>
            <w:bookmarkStart w:id="0" w:name="TemplateOverview"/>
            <w:bookmarkEnd w:id="0"/>
            <w:r w:rsidRPr="00241C58">
              <w:rPr>
                <w:rFonts w:ascii="Arial Narrow" w:eastAsia="Calibri" w:hAnsi="Arial Narrow" w:cs="Cordia New"/>
                <w:b/>
                <w:bCs/>
                <w:sz w:val="20"/>
                <w:szCs w:val="20"/>
              </w:rPr>
              <w:t xml:space="preserve">Unit </w:t>
            </w:r>
            <w:r w:rsidR="00B6304B">
              <w:rPr>
                <w:rFonts w:ascii="Arial Narrow" w:eastAsia="Calibri" w:hAnsi="Arial Narrow" w:cs="Cordia New"/>
                <w:b/>
                <w:bCs/>
                <w:sz w:val="20"/>
                <w:szCs w:val="20"/>
              </w:rPr>
              <w:t>4</w:t>
            </w:r>
          </w:p>
          <w:p w14:paraId="72AB099D" w14:textId="7F6ABEAB" w:rsidR="00241C58" w:rsidRPr="00241C58" w:rsidRDefault="00241C58" w:rsidP="00850356">
            <w:pPr>
              <w:rPr>
                <w:rFonts w:ascii="Arial Narrow" w:eastAsia="Calibri" w:hAnsi="Arial Narrow" w:cs="Cordia New"/>
                <w:b/>
                <w:bCs/>
                <w:sz w:val="20"/>
                <w:szCs w:val="20"/>
              </w:rPr>
            </w:pPr>
            <w:r w:rsidRPr="00241C58">
              <w:rPr>
                <w:rFonts w:ascii="Arial Narrow" w:eastAsia="Calibri" w:hAnsi="Arial Narrow" w:cs="Cordia New"/>
                <w:b/>
                <w:bCs/>
                <w:sz w:val="20"/>
                <w:szCs w:val="20"/>
              </w:rPr>
              <w:t xml:space="preserve">Outcome </w:t>
            </w:r>
            <w:r>
              <w:rPr>
                <w:rFonts w:ascii="Arial Narrow" w:eastAsia="Calibri" w:hAnsi="Arial Narrow" w:cs="Cordia New"/>
                <w:b/>
                <w:bCs/>
                <w:sz w:val="20"/>
                <w:szCs w:val="20"/>
              </w:rPr>
              <w:t>1</w:t>
            </w:r>
          </w:p>
          <w:p w14:paraId="269CB709" w14:textId="6662B0B6" w:rsidR="00241C58" w:rsidRPr="00AC3EE8" w:rsidRDefault="00B6304B" w:rsidP="00241C58">
            <w:pPr>
              <w:autoSpaceDE w:val="0"/>
              <w:autoSpaceDN w:val="0"/>
              <w:adjustRightInd w:val="0"/>
              <w:spacing w:before="120"/>
              <w:rPr>
                <w:rFonts w:ascii="Arial Narrow" w:hAnsi="Arial Narrow"/>
              </w:rPr>
            </w:pPr>
            <w:r w:rsidRPr="00974E3E">
              <w:rPr>
                <w:rFonts w:ascii="Arial Narrow" w:eastAsia="Calibri" w:hAnsi="Arial Narrow" w:cs="Cordia New"/>
                <w:b/>
                <w:bCs/>
                <w:i/>
                <w:iCs/>
                <w:color w:val="221E1F"/>
                <w:sz w:val="20"/>
                <w:szCs w:val="20"/>
              </w:rPr>
              <w:t>Investigate the impact of social and economic development on contemporary Chinese values, and produce a written response in English with reference to text(s) studied.</w:t>
            </w:r>
          </w:p>
        </w:tc>
        <w:tc>
          <w:tcPr>
            <w:tcW w:w="12332" w:type="dxa"/>
            <w:gridSpan w:val="5"/>
            <w:shd w:val="clear" w:color="auto" w:fill="0F7EB4"/>
            <w:vAlign w:val="center"/>
          </w:tcPr>
          <w:p w14:paraId="1465E2B7"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b/>
                <w:color w:val="FFFFFF" w:themeColor="background1"/>
                <w:sz w:val="20"/>
                <w:szCs w:val="20"/>
                <w:lang w:val="en-AU"/>
              </w:rPr>
              <w:t>DESCRIPTOR: typical performance in each range</w:t>
            </w:r>
          </w:p>
        </w:tc>
      </w:tr>
      <w:tr w:rsidR="00241C58" w:rsidRPr="00AC3EE8" w14:paraId="154FBA96" w14:textId="77777777" w:rsidTr="00241C58">
        <w:trPr>
          <w:trHeight w:val="170"/>
        </w:trPr>
        <w:tc>
          <w:tcPr>
            <w:tcW w:w="2689" w:type="dxa"/>
            <w:vMerge/>
            <w:vAlign w:val="center"/>
          </w:tcPr>
          <w:p w14:paraId="46D58213" w14:textId="77777777" w:rsidR="00241C58" w:rsidRPr="00AC3EE8" w:rsidRDefault="00241C58" w:rsidP="00850356">
            <w:pPr>
              <w:spacing w:before="120" w:after="120"/>
              <w:rPr>
                <w:rFonts w:ascii="Arial Narrow" w:hAnsi="Arial Narrow"/>
              </w:rPr>
            </w:pPr>
          </w:p>
        </w:tc>
        <w:tc>
          <w:tcPr>
            <w:tcW w:w="2466" w:type="dxa"/>
            <w:vAlign w:val="center"/>
          </w:tcPr>
          <w:p w14:paraId="7ED51E7D" w14:textId="77777777" w:rsidR="00241C58" w:rsidRPr="00241C58" w:rsidRDefault="00241C58" w:rsidP="00850356">
            <w:pPr>
              <w:spacing w:before="60" w:after="60"/>
              <w:jc w:val="center"/>
              <w:rPr>
                <w:rFonts w:ascii="Arial Narrow" w:hAnsi="Arial Narrow"/>
                <w:b/>
                <w:sz w:val="20"/>
                <w:szCs w:val="20"/>
              </w:rPr>
            </w:pPr>
            <w:r w:rsidRPr="00241C58">
              <w:rPr>
                <w:rFonts w:ascii="Arial Narrow" w:hAnsi="Arial Narrow"/>
                <w:b/>
                <w:sz w:val="20"/>
                <w:szCs w:val="20"/>
              </w:rPr>
              <w:t>Very Low</w:t>
            </w:r>
          </w:p>
        </w:tc>
        <w:tc>
          <w:tcPr>
            <w:tcW w:w="2466" w:type="dxa"/>
            <w:vAlign w:val="center"/>
          </w:tcPr>
          <w:p w14:paraId="50FF982C"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Low</w:t>
            </w:r>
          </w:p>
        </w:tc>
        <w:tc>
          <w:tcPr>
            <w:tcW w:w="2467" w:type="dxa"/>
            <w:vAlign w:val="center"/>
          </w:tcPr>
          <w:p w14:paraId="787DA613"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Medium</w:t>
            </w:r>
          </w:p>
        </w:tc>
        <w:tc>
          <w:tcPr>
            <w:tcW w:w="2466" w:type="dxa"/>
            <w:vAlign w:val="center"/>
          </w:tcPr>
          <w:p w14:paraId="07591BCB"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High</w:t>
            </w:r>
          </w:p>
        </w:tc>
        <w:tc>
          <w:tcPr>
            <w:tcW w:w="2467" w:type="dxa"/>
            <w:vAlign w:val="center"/>
          </w:tcPr>
          <w:p w14:paraId="008BFC03"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Very high</w:t>
            </w:r>
          </w:p>
        </w:tc>
      </w:tr>
      <w:tr w:rsidR="00373885" w:rsidRPr="00AC3EE8" w14:paraId="715C8597" w14:textId="77777777" w:rsidTr="00373885">
        <w:tc>
          <w:tcPr>
            <w:tcW w:w="2689" w:type="dxa"/>
            <w:vMerge/>
            <w:vAlign w:val="center"/>
          </w:tcPr>
          <w:p w14:paraId="2EB5C883" w14:textId="77777777" w:rsidR="00373885" w:rsidRPr="00AC3EE8" w:rsidRDefault="00373885" w:rsidP="00373885"/>
        </w:tc>
        <w:tc>
          <w:tcPr>
            <w:tcW w:w="2466" w:type="dxa"/>
          </w:tcPr>
          <w:p w14:paraId="605EC246" w14:textId="35826A2F" w:rsidR="00373885" w:rsidRPr="00241C58" w:rsidRDefault="00373885" w:rsidP="00373885">
            <w:pPr>
              <w:spacing w:before="60" w:after="60"/>
              <w:rPr>
                <w:rFonts w:ascii="Arial Narrow" w:hAnsi="Arial Narrow" w:cstheme="minorHAnsi"/>
                <w:sz w:val="16"/>
                <w:szCs w:val="16"/>
              </w:rPr>
            </w:pPr>
            <w:r w:rsidRPr="00767B2D">
              <w:rPr>
                <w:rFonts w:ascii="Arial Narrow" w:hAnsi="Arial Narrow" w:cstheme="minorHAnsi"/>
                <w:sz w:val="17"/>
                <w:szCs w:val="17"/>
              </w:rPr>
              <w:t xml:space="preserve">A very limited </w:t>
            </w:r>
            <w:r w:rsidRPr="00767B2D">
              <w:rPr>
                <w:rFonts w:ascii="Arial Narrow" w:hAnsi="Arial Narrow" w:cstheme="minorHAnsi"/>
                <w:sz w:val="17"/>
                <w:szCs w:val="17"/>
                <w:lang w:val="en-AU"/>
              </w:rPr>
              <w:t xml:space="preserve">investigation of </w:t>
            </w:r>
            <w:r w:rsidRPr="00767B2D">
              <w:rPr>
                <w:rFonts w:ascii="Arial Narrow" w:eastAsia="Calibri" w:hAnsi="Arial Narrow" w:cstheme="minorHAnsi"/>
                <w:bCs/>
                <w:iCs/>
                <w:sz w:val="17"/>
                <w:szCs w:val="17"/>
              </w:rPr>
              <w:t xml:space="preserve">the impact of social and economic development on contemporary Chinese values. </w:t>
            </w:r>
            <w:r w:rsidRPr="00767B2D">
              <w:rPr>
                <w:rFonts w:ascii="Arial Narrow" w:eastAsia="Calibri" w:hAnsi="Arial Narrow" w:cstheme="minorHAnsi"/>
                <w:sz w:val="17"/>
                <w:szCs w:val="17"/>
              </w:rPr>
              <w:t xml:space="preserve">Very limited use of </w:t>
            </w:r>
            <w:r w:rsidRPr="00767B2D">
              <w:rPr>
                <w:rFonts w:ascii="Arial Narrow" w:eastAsia="Calibri" w:hAnsi="Arial Narrow" w:cstheme="minorHAnsi"/>
                <w:bCs/>
                <w:iCs/>
                <w:sz w:val="17"/>
                <w:szCs w:val="17"/>
              </w:rPr>
              <w:t>evidence about culture or aspects of life in contemporary China</w:t>
            </w:r>
          </w:p>
        </w:tc>
        <w:tc>
          <w:tcPr>
            <w:tcW w:w="2466" w:type="dxa"/>
          </w:tcPr>
          <w:p w14:paraId="2E4FF0C7" w14:textId="67304CB0" w:rsidR="00373885" w:rsidRPr="00241C58" w:rsidRDefault="00373885" w:rsidP="00373885">
            <w:pPr>
              <w:spacing w:before="60" w:after="60"/>
              <w:rPr>
                <w:rFonts w:ascii="Arial Narrow" w:hAnsi="Arial Narrow" w:cstheme="minorHAnsi"/>
                <w:sz w:val="16"/>
                <w:szCs w:val="16"/>
              </w:rPr>
            </w:pPr>
            <w:r w:rsidRPr="00767B2D">
              <w:rPr>
                <w:rFonts w:ascii="Arial Narrow" w:hAnsi="Arial Narrow" w:cstheme="minorHAnsi"/>
                <w:sz w:val="17"/>
                <w:szCs w:val="17"/>
              </w:rPr>
              <w:t xml:space="preserve">Some </w:t>
            </w:r>
            <w:r w:rsidRPr="00767B2D">
              <w:rPr>
                <w:rFonts w:ascii="Arial Narrow" w:hAnsi="Arial Narrow" w:cstheme="minorHAnsi"/>
                <w:sz w:val="17"/>
                <w:szCs w:val="17"/>
                <w:lang w:val="en-AU"/>
              </w:rPr>
              <w:t xml:space="preserve">investigation of </w:t>
            </w:r>
            <w:r w:rsidRPr="00767B2D">
              <w:rPr>
                <w:rFonts w:ascii="Arial Narrow" w:eastAsia="Calibri" w:hAnsi="Arial Narrow" w:cstheme="minorHAnsi"/>
                <w:bCs/>
                <w:iCs/>
                <w:sz w:val="17"/>
                <w:szCs w:val="17"/>
              </w:rPr>
              <w:t>the impact of social and economic development on contemporary Chinese values. Refers to evidence to provide some information about how features of Chinese culture are reflected in one or more aspects of life in contemporary China</w:t>
            </w:r>
          </w:p>
        </w:tc>
        <w:tc>
          <w:tcPr>
            <w:tcW w:w="2467" w:type="dxa"/>
          </w:tcPr>
          <w:p w14:paraId="4BD4CF52" w14:textId="42FADDF2" w:rsidR="00373885" w:rsidRPr="00241C58" w:rsidRDefault="00373885" w:rsidP="00373885">
            <w:pPr>
              <w:spacing w:before="60" w:after="60"/>
              <w:rPr>
                <w:rFonts w:ascii="Arial Narrow" w:hAnsi="Arial Narrow" w:cstheme="minorHAnsi"/>
                <w:sz w:val="16"/>
                <w:szCs w:val="16"/>
              </w:rPr>
            </w:pPr>
            <w:r w:rsidRPr="00767B2D">
              <w:rPr>
                <w:rFonts w:ascii="Arial Narrow" w:hAnsi="Arial Narrow" w:cstheme="minorHAnsi"/>
                <w:sz w:val="17"/>
                <w:szCs w:val="17"/>
              </w:rPr>
              <w:t xml:space="preserve">Sound </w:t>
            </w:r>
            <w:r w:rsidRPr="00767B2D">
              <w:rPr>
                <w:rFonts w:ascii="Arial Narrow" w:hAnsi="Arial Narrow" w:cstheme="minorHAnsi"/>
                <w:sz w:val="17"/>
                <w:szCs w:val="17"/>
                <w:lang w:val="en-AU"/>
              </w:rPr>
              <w:t xml:space="preserve">investigation of </w:t>
            </w:r>
            <w:r w:rsidRPr="00767B2D">
              <w:rPr>
                <w:rFonts w:ascii="Arial Narrow" w:eastAsia="Calibri" w:hAnsi="Arial Narrow" w:cstheme="minorHAnsi"/>
                <w:bCs/>
                <w:iCs/>
                <w:sz w:val="17"/>
                <w:szCs w:val="17"/>
              </w:rPr>
              <w:t>the impact of social and economic development on contemporary Chinese values. Draws on evidence and refers to the ways that features of Chinese culture are reflected in one or more aspects of life in contemporary China</w:t>
            </w:r>
          </w:p>
        </w:tc>
        <w:tc>
          <w:tcPr>
            <w:tcW w:w="2466" w:type="dxa"/>
          </w:tcPr>
          <w:p w14:paraId="3E224C23" w14:textId="3C615EE9" w:rsidR="00373885" w:rsidRPr="00241C58" w:rsidRDefault="00373885" w:rsidP="00373885">
            <w:pPr>
              <w:spacing w:before="60" w:after="60"/>
              <w:rPr>
                <w:rFonts w:ascii="Arial Narrow" w:hAnsi="Arial Narrow" w:cstheme="minorHAnsi"/>
                <w:sz w:val="16"/>
                <w:szCs w:val="16"/>
              </w:rPr>
            </w:pPr>
            <w:r w:rsidRPr="00767B2D">
              <w:rPr>
                <w:rFonts w:ascii="Arial Narrow" w:hAnsi="Arial Narrow" w:cstheme="minorHAnsi"/>
                <w:sz w:val="17"/>
                <w:szCs w:val="17"/>
              </w:rPr>
              <w:t xml:space="preserve">Detailed </w:t>
            </w:r>
            <w:r w:rsidRPr="00767B2D">
              <w:rPr>
                <w:rFonts w:ascii="Arial Narrow" w:hAnsi="Arial Narrow" w:cstheme="minorHAnsi"/>
                <w:sz w:val="17"/>
                <w:szCs w:val="17"/>
                <w:lang w:val="en-AU"/>
              </w:rPr>
              <w:t xml:space="preserve">investigation of </w:t>
            </w:r>
            <w:r w:rsidRPr="00767B2D">
              <w:rPr>
                <w:rFonts w:ascii="Arial Narrow" w:eastAsia="Calibri" w:hAnsi="Arial Narrow" w:cstheme="minorHAnsi"/>
                <w:bCs/>
                <w:iCs/>
                <w:sz w:val="17"/>
                <w:szCs w:val="17"/>
              </w:rPr>
              <w:t>the impact of social and economic development on contemporary Chinese values. Draws on evidence to explain the ways that features of Chinese culture are reflected in one or more aspects of life in contemporary China</w:t>
            </w:r>
          </w:p>
        </w:tc>
        <w:tc>
          <w:tcPr>
            <w:tcW w:w="2467" w:type="dxa"/>
          </w:tcPr>
          <w:p w14:paraId="44CFC244" w14:textId="7E82D367" w:rsidR="00373885" w:rsidRPr="00241C58" w:rsidRDefault="00373885" w:rsidP="00373885">
            <w:pPr>
              <w:spacing w:before="60" w:after="60"/>
              <w:rPr>
                <w:rFonts w:ascii="Arial Narrow" w:hAnsi="Arial Narrow" w:cstheme="minorHAnsi"/>
                <w:sz w:val="16"/>
                <w:szCs w:val="16"/>
              </w:rPr>
            </w:pPr>
            <w:r w:rsidRPr="00767B2D">
              <w:rPr>
                <w:rFonts w:ascii="Arial Narrow" w:hAnsi="Arial Narrow" w:cstheme="minorHAnsi"/>
                <w:sz w:val="17"/>
                <w:szCs w:val="17"/>
              </w:rPr>
              <w:t xml:space="preserve">Comprehensive </w:t>
            </w:r>
            <w:r w:rsidRPr="00767B2D">
              <w:rPr>
                <w:rFonts w:ascii="Arial Narrow" w:hAnsi="Arial Narrow" w:cstheme="minorHAnsi"/>
                <w:sz w:val="17"/>
                <w:szCs w:val="17"/>
                <w:lang w:val="en-AU"/>
              </w:rPr>
              <w:t xml:space="preserve">investigation of </w:t>
            </w:r>
            <w:r w:rsidRPr="00767B2D">
              <w:rPr>
                <w:rFonts w:ascii="Arial Narrow" w:eastAsia="Calibri" w:hAnsi="Arial Narrow" w:cstheme="minorHAnsi"/>
                <w:bCs/>
                <w:iCs/>
                <w:sz w:val="17"/>
                <w:szCs w:val="17"/>
              </w:rPr>
              <w:t>the impact of social and economic development on contemporary Chinese values. Skilfully draws on evidence to provide an in depth explanation of the ways that features of Chinese culture are reflected in one or more aspects of life in contemporary China</w:t>
            </w:r>
          </w:p>
        </w:tc>
      </w:tr>
      <w:tr w:rsidR="00373885" w:rsidRPr="00AC3EE8" w14:paraId="0776F904" w14:textId="77777777" w:rsidTr="00241C58">
        <w:tc>
          <w:tcPr>
            <w:tcW w:w="2689" w:type="dxa"/>
            <w:vMerge/>
            <w:vAlign w:val="center"/>
          </w:tcPr>
          <w:p w14:paraId="057DD85C" w14:textId="77777777" w:rsidR="00373885" w:rsidRPr="00AC3EE8" w:rsidRDefault="00373885" w:rsidP="00373885"/>
        </w:tc>
        <w:tc>
          <w:tcPr>
            <w:tcW w:w="2466" w:type="dxa"/>
          </w:tcPr>
          <w:p w14:paraId="4545CD27" w14:textId="3BACD638" w:rsidR="00373885" w:rsidRPr="00241C58" w:rsidRDefault="00373885" w:rsidP="00373885">
            <w:pPr>
              <w:spacing w:before="60" w:after="60"/>
              <w:rPr>
                <w:rFonts w:ascii="Arial Narrow" w:hAnsi="Arial Narrow" w:cstheme="minorHAnsi"/>
                <w:sz w:val="16"/>
                <w:szCs w:val="16"/>
              </w:rPr>
            </w:pPr>
            <w:r w:rsidRPr="00767B2D">
              <w:rPr>
                <w:rFonts w:ascii="Arial Narrow" w:eastAsia="Calibri" w:hAnsi="Arial Narrow" w:cstheme="minorHAnsi"/>
                <w:sz w:val="17"/>
                <w:szCs w:val="17"/>
              </w:rPr>
              <w:t>Very limited understanding of the illustrative examples,  themes and issues presented in the text(s). Very limited reference to relevant information to engage with ideas or develop explanations or arguments. Response may not include conclusions.</w:t>
            </w:r>
          </w:p>
        </w:tc>
        <w:tc>
          <w:tcPr>
            <w:tcW w:w="2466" w:type="dxa"/>
          </w:tcPr>
          <w:p w14:paraId="21DC3859" w14:textId="3974B471" w:rsidR="00373885" w:rsidRPr="00241C58" w:rsidRDefault="00373885" w:rsidP="00373885">
            <w:pPr>
              <w:spacing w:before="60" w:after="60"/>
              <w:rPr>
                <w:rFonts w:ascii="Arial Narrow" w:hAnsi="Arial Narrow" w:cstheme="minorHAnsi"/>
                <w:sz w:val="16"/>
                <w:szCs w:val="16"/>
              </w:rPr>
            </w:pPr>
            <w:r w:rsidRPr="00767B2D">
              <w:rPr>
                <w:rFonts w:ascii="Arial Narrow" w:eastAsia="Calibri" w:hAnsi="Arial Narrow" w:cstheme="minorHAnsi"/>
                <w:sz w:val="17"/>
                <w:szCs w:val="17"/>
              </w:rPr>
              <w:t xml:space="preserve">Some understanding of the illustrative examples, themes and/or issues presented in the text(s). Refers to some evidence to support ideas and explanations. Ideas may be supported by arguments, some of which may have limited relevance. Shows some recognition of different perspectives. Draws limited conclusions. </w:t>
            </w:r>
          </w:p>
        </w:tc>
        <w:tc>
          <w:tcPr>
            <w:tcW w:w="2467" w:type="dxa"/>
          </w:tcPr>
          <w:p w14:paraId="186A6662" w14:textId="72EDF038" w:rsidR="00373885" w:rsidRPr="00241C58" w:rsidRDefault="00373885" w:rsidP="00373885">
            <w:pPr>
              <w:spacing w:before="60" w:after="60"/>
              <w:rPr>
                <w:rFonts w:ascii="Arial Narrow" w:hAnsi="Arial Narrow" w:cstheme="minorHAnsi"/>
                <w:sz w:val="16"/>
                <w:szCs w:val="16"/>
              </w:rPr>
            </w:pPr>
            <w:r w:rsidRPr="00767B2D">
              <w:rPr>
                <w:rFonts w:ascii="Arial Narrow" w:eastAsia="Calibri" w:hAnsi="Arial Narrow" w:cstheme="minorHAnsi"/>
                <w:sz w:val="17"/>
                <w:szCs w:val="17"/>
              </w:rPr>
              <w:t>Sound understanding of the illustrative examples, themes and issues presented in the text(s). Summarises, synthesises and evaluates evidence to support and develop explanations, points of view and arguments. Compares perspectives and draws conclusions.</w:t>
            </w:r>
          </w:p>
        </w:tc>
        <w:tc>
          <w:tcPr>
            <w:tcW w:w="2466" w:type="dxa"/>
          </w:tcPr>
          <w:p w14:paraId="44E66BFB" w14:textId="1667491C" w:rsidR="00373885" w:rsidRPr="00241C58" w:rsidRDefault="00373885" w:rsidP="00373885">
            <w:pPr>
              <w:spacing w:before="60" w:after="60"/>
              <w:rPr>
                <w:rFonts w:ascii="Arial Narrow" w:hAnsi="Arial Narrow" w:cstheme="minorHAnsi"/>
                <w:sz w:val="16"/>
                <w:szCs w:val="16"/>
              </w:rPr>
            </w:pPr>
            <w:r w:rsidRPr="00767B2D">
              <w:rPr>
                <w:rFonts w:ascii="Arial Narrow" w:eastAsia="Calibri" w:hAnsi="Arial Narrow" w:cstheme="minorHAnsi"/>
                <w:sz w:val="17"/>
                <w:szCs w:val="17"/>
              </w:rPr>
              <w:t>Detailed understanding of the illustrative examples, themes and issues presented in the text(s). Summarises, synthesises and evaluates relevant evidence to support and develop explanations, points of view and arguments. Compares a variety of perspectives and draws sound conclusions.</w:t>
            </w:r>
          </w:p>
        </w:tc>
        <w:tc>
          <w:tcPr>
            <w:tcW w:w="2467" w:type="dxa"/>
          </w:tcPr>
          <w:p w14:paraId="56C966BB" w14:textId="40EB17FC" w:rsidR="00373885" w:rsidRPr="00241C58" w:rsidRDefault="00373885" w:rsidP="00373885">
            <w:pPr>
              <w:spacing w:before="60" w:after="60"/>
              <w:rPr>
                <w:rFonts w:ascii="Arial Narrow" w:hAnsi="Arial Narrow" w:cstheme="minorHAnsi"/>
                <w:sz w:val="16"/>
                <w:szCs w:val="16"/>
              </w:rPr>
            </w:pPr>
            <w:r w:rsidRPr="00767B2D">
              <w:rPr>
                <w:rFonts w:ascii="Arial Narrow" w:eastAsia="Calibri" w:hAnsi="Arial Narrow" w:cstheme="minorHAnsi"/>
                <w:sz w:val="17"/>
                <w:szCs w:val="17"/>
              </w:rPr>
              <w:t>Comprehensive understanding of the illustrative examples, themes and issues presented in the text(s). Effectively summarises, synthesises and evaluates relevant evidence to support and develop clear explanations, points of view and arguments. Compares a variety of perspectives and draws strong conclusions.</w:t>
            </w:r>
          </w:p>
        </w:tc>
      </w:tr>
      <w:tr w:rsidR="00373885" w:rsidRPr="00AC3EE8" w14:paraId="2B20469B" w14:textId="77777777" w:rsidTr="00241C58">
        <w:tc>
          <w:tcPr>
            <w:tcW w:w="2689" w:type="dxa"/>
            <w:vMerge/>
            <w:vAlign w:val="center"/>
          </w:tcPr>
          <w:p w14:paraId="7A3BC333" w14:textId="77777777" w:rsidR="00373885" w:rsidRPr="00AC3EE8" w:rsidRDefault="00373885" w:rsidP="00373885"/>
        </w:tc>
        <w:tc>
          <w:tcPr>
            <w:tcW w:w="2466" w:type="dxa"/>
          </w:tcPr>
          <w:p w14:paraId="162B8EF6" w14:textId="144C1835" w:rsidR="00373885" w:rsidRPr="00241C58" w:rsidRDefault="00373885" w:rsidP="00373885">
            <w:pPr>
              <w:spacing w:before="60" w:after="60"/>
              <w:rPr>
                <w:rFonts w:ascii="Arial Narrow" w:hAnsi="Arial Narrow" w:cstheme="minorHAnsi"/>
                <w:sz w:val="16"/>
                <w:szCs w:val="16"/>
              </w:rPr>
            </w:pPr>
            <w:r w:rsidRPr="00767B2D">
              <w:rPr>
                <w:rFonts w:ascii="Arial Narrow" w:eastAsia="Calibri" w:hAnsi="Arial Narrow" w:cstheme="minorHAnsi"/>
                <w:sz w:val="17"/>
                <w:szCs w:val="17"/>
              </w:rPr>
              <w:t>Very limited reference to Chinese traditional values and their relevance to aspects of life. Very limited reference to aspects of Chinese philosophies in contemporary China.</w:t>
            </w:r>
          </w:p>
        </w:tc>
        <w:tc>
          <w:tcPr>
            <w:tcW w:w="2466" w:type="dxa"/>
          </w:tcPr>
          <w:p w14:paraId="20182892" w14:textId="06DEEA77" w:rsidR="00373885" w:rsidRPr="00241C58" w:rsidRDefault="00373885" w:rsidP="00373885">
            <w:pPr>
              <w:spacing w:before="60" w:after="60"/>
              <w:rPr>
                <w:rFonts w:ascii="Arial Narrow" w:hAnsi="Arial Narrow" w:cstheme="minorHAnsi"/>
                <w:sz w:val="16"/>
                <w:szCs w:val="16"/>
              </w:rPr>
            </w:pPr>
            <w:r w:rsidRPr="00767B2D">
              <w:rPr>
                <w:rFonts w:ascii="Arial Narrow" w:eastAsia="Calibri" w:hAnsi="Arial Narrow" w:cstheme="minorHAnsi"/>
                <w:sz w:val="17"/>
                <w:szCs w:val="17"/>
              </w:rPr>
              <w:t>Limited explanation of the ways in which Chinese traditional values influence one or more aspects of life. Makes some reference to the role of aspects of Chinese philosophies in contemporary China.</w:t>
            </w:r>
          </w:p>
        </w:tc>
        <w:tc>
          <w:tcPr>
            <w:tcW w:w="2467" w:type="dxa"/>
          </w:tcPr>
          <w:p w14:paraId="59D91B2A" w14:textId="09628882" w:rsidR="00373885" w:rsidRPr="00241C58" w:rsidRDefault="00373885" w:rsidP="00373885">
            <w:pPr>
              <w:spacing w:before="60" w:after="60"/>
              <w:rPr>
                <w:rFonts w:ascii="Arial Narrow" w:hAnsi="Arial Narrow" w:cstheme="minorHAnsi"/>
                <w:sz w:val="16"/>
                <w:szCs w:val="16"/>
              </w:rPr>
            </w:pPr>
            <w:r w:rsidRPr="00767B2D">
              <w:rPr>
                <w:rFonts w:ascii="Arial Narrow" w:eastAsia="Calibri" w:hAnsi="Arial Narrow" w:cstheme="minorHAnsi"/>
                <w:sz w:val="17"/>
                <w:szCs w:val="17"/>
              </w:rPr>
              <w:t>Sound explanation of the ways in which Chinese traditional values continue to influence one or more aspects of life. Shows an understanding of the role of aspects of Chinese philosophies in contemporary China.</w:t>
            </w:r>
          </w:p>
        </w:tc>
        <w:tc>
          <w:tcPr>
            <w:tcW w:w="2466" w:type="dxa"/>
          </w:tcPr>
          <w:p w14:paraId="78F407F3" w14:textId="544E4815" w:rsidR="00373885" w:rsidRPr="00241C58" w:rsidRDefault="00373885" w:rsidP="00373885">
            <w:pPr>
              <w:spacing w:before="60" w:after="60"/>
              <w:rPr>
                <w:rFonts w:ascii="Arial Narrow" w:hAnsi="Arial Narrow" w:cstheme="minorHAnsi"/>
                <w:sz w:val="16"/>
                <w:szCs w:val="16"/>
              </w:rPr>
            </w:pPr>
            <w:r w:rsidRPr="00767B2D">
              <w:rPr>
                <w:rFonts w:ascii="Arial Narrow" w:eastAsia="Calibri" w:hAnsi="Arial Narrow" w:cstheme="minorHAnsi"/>
                <w:sz w:val="17"/>
                <w:szCs w:val="17"/>
              </w:rPr>
              <w:t>A thorough explanation of the ways in which Chinese traditional values continue to influence one or more aspects of life. Shows a well-founded understanding of the role of aspects of Chinese philosophies in contemporary China.</w:t>
            </w:r>
          </w:p>
        </w:tc>
        <w:tc>
          <w:tcPr>
            <w:tcW w:w="2467" w:type="dxa"/>
          </w:tcPr>
          <w:p w14:paraId="44E1F27C" w14:textId="07D3B0D3" w:rsidR="00373885" w:rsidRPr="00241C58" w:rsidRDefault="00373885" w:rsidP="00373885">
            <w:pPr>
              <w:spacing w:before="60" w:after="60"/>
              <w:rPr>
                <w:rFonts w:ascii="Arial Narrow" w:hAnsi="Arial Narrow" w:cstheme="minorHAnsi"/>
                <w:sz w:val="16"/>
                <w:szCs w:val="16"/>
              </w:rPr>
            </w:pPr>
            <w:r w:rsidRPr="00373885">
              <w:rPr>
                <w:rFonts w:ascii="Arial Narrow" w:eastAsia="Calibri" w:hAnsi="Arial Narrow" w:cstheme="minorHAnsi"/>
                <w:sz w:val="17"/>
                <w:szCs w:val="17"/>
              </w:rPr>
              <w:t>A very</w:t>
            </w:r>
            <w:r w:rsidRPr="00767B2D">
              <w:rPr>
                <w:rFonts w:ascii="Arial Narrow" w:eastAsia="Calibri" w:hAnsi="Arial Narrow" w:cstheme="minorHAnsi"/>
                <w:sz w:val="17"/>
                <w:szCs w:val="17"/>
              </w:rPr>
              <w:t xml:space="preserve"> comprehensive explanation of the ways in which Chinese traditional values continue to influence one or more aspects of life. Shows an in-depth understanding of the role of aspects of Chinese philosophies in contemporary China.</w:t>
            </w:r>
          </w:p>
        </w:tc>
      </w:tr>
      <w:tr w:rsidR="00373885" w:rsidRPr="00AC3EE8" w14:paraId="03C22C85" w14:textId="77777777" w:rsidTr="00241C58">
        <w:tc>
          <w:tcPr>
            <w:tcW w:w="2689" w:type="dxa"/>
            <w:vMerge/>
          </w:tcPr>
          <w:p w14:paraId="10416DB2" w14:textId="77777777" w:rsidR="00373885" w:rsidRPr="00AC3EE8" w:rsidRDefault="00373885" w:rsidP="00373885"/>
        </w:tc>
        <w:tc>
          <w:tcPr>
            <w:tcW w:w="2466" w:type="dxa"/>
          </w:tcPr>
          <w:p w14:paraId="359CDE8F" w14:textId="50DAEE83" w:rsidR="00373885" w:rsidRPr="00241C58" w:rsidRDefault="00373885" w:rsidP="00373885">
            <w:pPr>
              <w:spacing w:before="60" w:after="60"/>
              <w:rPr>
                <w:rFonts w:ascii="Arial Narrow" w:hAnsi="Arial Narrow" w:cstheme="minorHAnsi"/>
                <w:sz w:val="16"/>
                <w:szCs w:val="16"/>
              </w:rPr>
            </w:pPr>
            <w:r w:rsidRPr="00767B2D">
              <w:rPr>
                <w:rFonts w:ascii="Arial Narrow" w:eastAsia="Calibri" w:hAnsi="Arial Narrow" w:cstheme="minorHAnsi"/>
                <w:sz w:val="17"/>
                <w:szCs w:val="17"/>
              </w:rPr>
              <w:t>The response may not be clear and shows very little structuring and sequencing of information and/or ideas.</w:t>
            </w:r>
          </w:p>
        </w:tc>
        <w:tc>
          <w:tcPr>
            <w:tcW w:w="2466" w:type="dxa"/>
          </w:tcPr>
          <w:p w14:paraId="5E12EEFC" w14:textId="7853B44B" w:rsidR="00373885" w:rsidRPr="00241C58" w:rsidRDefault="00373885" w:rsidP="00373885">
            <w:pPr>
              <w:spacing w:before="60" w:after="60"/>
              <w:rPr>
                <w:rFonts w:ascii="Arial Narrow" w:hAnsi="Arial Narrow" w:cstheme="minorHAnsi"/>
                <w:sz w:val="16"/>
                <w:szCs w:val="16"/>
              </w:rPr>
            </w:pPr>
            <w:r w:rsidRPr="00767B2D">
              <w:rPr>
                <w:rFonts w:ascii="Arial Narrow" w:eastAsia="Calibri" w:hAnsi="Arial Narrow" w:cstheme="minorHAnsi"/>
                <w:sz w:val="17"/>
                <w:szCs w:val="17"/>
              </w:rPr>
              <w:t>The response makes some use of structuring and sequencing of information and ideas.</w:t>
            </w:r>
          </w:p>
        </w:tc>
        <w:tc>
          <w:tcPr>
            <w:tcW w:w="2467" w:type="dxa"/>
          </w:tcPr>
          <w:p w14:paraId="17672DFD" w14:textId="1C041CA2" w:rsidR="00373885" w:rsidRPr="00241C58" w:rsidRDefault="00373885" w:rsidP="00373885">
            <w:pPr>
              <w:spacing w:before="60" w:after="60"/>
              <w:rPr>
                <w:rFonts w:ascii="Arial Narrow" w:hAnsi="Arial Narrow" w:cstheme="minorHAnsi"/>
                <w:sz w:val="16"/>
                <w:szCs w:val="16"/>
              </w:rPr>
            </w:pPr>
            <w:r w:rsidRPr="00767B2D">
              <w:rPr>
                <w:rFonts w:ascii="Arial Narrow" w:eastAsia="Calibri" w:hAnsi="Arial Narrow" w:cstheme="minorHAnsi"/>
                <w:sz w:val="17"/>
                <w:szCs w:val="17"/>
              </w:rPr>
              <w:t>The structure and sequence of the writing is sound.  The response develops clear information and ideas in paragraphs.</w:t>
            </w:r>
          </w:p>
        </w:tc>
        <w:tc>
          <w:tcPr>
            <w:tcW w:w="2466" w:type="dxa"/>
          </w:tcPr>
          <w:p w14:paraId="6C5C00B9" w14:textId="61BDC859" w:rsidR="00373885" w:rsidRPr="00241C58" w:rsidRDefault="00373885" w:rsidP="00373885">
            <w:pPr>
              <w:spacing w:before="60" w:after="60"/>
              <w:rPr>
                <w:rFonts w:ascii="Arial Narrow" w:hAnsi="Arial Narrow" w:cstheme="minorHAnsi"/>
                <w:sz w:val="16"/>
                <w:szCs w:val="16"/>
              </w:rPr>
            </w:pPr>
            <w:r w:rsidRPr="00767B2D">
              <w:rPr>
                <w:rFonts w:ascii="Arial Narrow" w:eastAsia="Calibri" w:hAnsi="Arial Narrow" w:cstheme="minorHAnsi"/>
                <w:sz w:val="17"/>
                <w:szCs w:val="17"/>
              </w:rPr>
              <w:t>The structure and sequence of the writing is effective.  The response uses cohesive paragraphs to develop information and ideas clearly and logically.</w:t>
            </w:r>
          </w:p>
        </w:tc>
        <w:tc>
          <w:tcPr>
            <w:tcW w:w="2467" w:type="dxa"/>
          </w:tcPr>
          <w:p w14:paraId="2094B3CB" w14:textId="6C3820EF" w:rsidR="00373885" w:rsidRPr="00241C58" w:rsidRDefault="00373885" w:rsidP="00373885">
            <w:pPr>
              <w:spacing w:before="60" w:after="60"/>
              <w:rPr>
                <w:rFonts w:ascii="Arial Narrow" w:hAnsi="Arial Narrow" w:cstheme="minorHAnsi"/>
                <w:sz w:val="16"/>
                <w:szCs w:val="16"/>
              </w:rPr>
            </w:pPr>
            <w:r w:rsidRPr="00767B2D">
              <w:rPr>
                <w:rFonts w:ascii="Arial Narrow" w:eastAsia="Calibri" w:hAnsi="Arial Narrow" w:cstheme="minorHAnsi"/>
                <w:sz w:val="17"/>
                <w:szCs w:val="17"/>
              </w:rPr>
              <w:t>The structure and sequence of the writing is highly effective.  The response uses coherent and cohesive paragraphs to develop information and ideas clearly and logically.</w:t>
            </w:r>
          </w:p>
        </w:tc>
      </w:tr>
    </w:tbl>
    <w:p w14:paraId="323A6DC7" w14:textId="338AB41C" w:rsidR="00850356" w:rsidRPr="00850356" w:rsidRDefault="00373885" w:rsidP="00241C58">
      <w:pPr>
        <w:spacing w:before="120" w:after="120"/>
        <w:rPr>
          <w:rFonts w:ascii="Arial Narrow" w:hAnsi="Arial Narrow" w:cs="Arial"/>
          <w:sz w:val="20"/>
          <w:szCs w:val="20"/>
        </w:rPr>
      </w:pPr>
      <w:r w:rsidRPr="007D0AF8">
        <w:rPr>
          <w:i/>
          <w:sz w:val="18"/>
          <w:szCs w:val="18"/>
        </w:rPr>
        <w:t>Insert applicable mark ranges</w:t>
      </w:r>
      <w:r>
        <w:rPr>
          <w:sz w:val="18"/>
          <w:szCs w:val="18"/>
        </w:rPr>
        <w:t xml:space="preserve"> </w:t>
      </w:r>
      <w:r w:rsidR="00850356" w:rsidRPr="00850356">
        <w:rPr>
          <w:rFonts w:ascii="Arial Narrow" w:hAnsi="Arial Narrow" w:cs="Arial"/>
          <w:sz w:val="20"/>
          <w:szCs w:val="20"/>
        </w:rPr>
        <w:t xml:space="preserve">KEY to marking scale based on the outcome contributing </w:t>
      </w:r>
      <w:r w:rsidR="005A74BB">
        <w:rPr>
          <w:rFonts w:ascii="Arial Narrow" w:hAnsi="Arial Narrow" w:cs="Arial"/>
          <w:sz w:val="20"/>
          <w:szCs w:val="20"/>
        </w:rPr>
        <w:t>2</w:t>
      </w:r>
      <w:r w:rsidR="00850356" w:rsidRPr="00850356">
        <w:rPr>
          <w:rFonts w:ascii="Arial Narrow" w:hAnsi="Arial Narrow" w:cs="Arial"/>
          <w:sz w:val="20"/>
          <w:szCs w:val="20"/>
        </w:rPr>
        <w:t>0 marks</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14:paraId="0F440B5A" w14:textId="77777777" w:rsidTr="00850356">
        <w:tc>
          <w:tcPr>
            <w:tcW w:w="2063" w:type="dxa"/>
            <w:vAlign w:val="center"/>
          </w:tcPr>
          <w:p w14:paraId="0692279D" w14:textId="217C06D8"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Low 1</w:t>
            </w:r>
            <w:r w:rsidR="005A74BB">
              <w:rPr>
                <w:rFonts w:ascii="Arial Narrow" w:hAnsi="Arial Narrow" w:cs="Arial"/>
                <w:sz w:val="20"/>
                <w:szCs w:val="20"/>
              </w:rPr>
              <w:t>–4</w:t>
            </w:r>
          </w:p>
        </w:tc>
        <w:tc>
          <w:tcPr>
            <w:tcW w:w="2063" w:type="dxa"/>
            <w:vAlign w:val="center"/>
          </w:tcPr>
          <w:p w14:paraId="30066DFB" w14:textId="4C002BCE"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Low </w:t>
            </w:r>
            <w:r w:rsidR="005A74BB">
              <w:rPr>
                <w:rFonts w:ascii="Arial Narrow" w:hAnsi="Arial Narrow" w:cs="Arial"/>
                <w:sz w:val="20"/>
                <w:szCs w:val="20"/>
              </w:rPr>
              <w:t>5</w:t>
            </w:r>
            <w:r w:rsidRPr="00850356">
              <w:rPr>
                <w:rFonts w:ascii="Arial Narrow" w:hAnsi="Arial Narrow" w:cs="Arial"/>
                <w:sz w:val="20"/>
                <w:szCs w:val="20"/>
              </w:rPr>
              <w:t>–</w:t>
            </w:r>
            <w:r w:rsidR="005A74BB">
              <w:rPr>
                <w:rFonts w:ascii="Arial Narrow" w:hAnsi="Arial Narrow" w:cs="Arial"/>
                <w:sz w:val="20"/>
                <w:szCs w:val="20"/>
              </w:rPr>
              <w:t>8</w:t>
            </w:r>
          </w:p>
        </w:tc>
        <w:tc>
          <w:tcPr>
            <w:tcW w:w="2063" w:type="dxa"/>
            <w:vAlign w:val="center"/>
          </w:tcPr>
          <w:p w14:paraId="01B5F5A7" w14:textId="1A2D9F55"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Medium </w:t>
            </w:r>
            <w:r w:rsidR="005A74BB">
              <w:rPr>
                <w:rFonts w:ascii="Arial Narrow" w:hAnsi="Arial Narrow" w:cs="Arial"/>
                <w:sz w:val="20"/>
                <w:szCs w:val="20"/>
              </w:rPr>
              <w:t>9</w:t>
            </w:r>
            <w:r w:rsidRPr="00850356">
              <w:rPr>
                <w:rFonts w:ascii="Arial Narrow" w:hAnsi="Arial Narrow" w:cs="Arial"/>
                <w:sz w:val="20"/>
                <w:szCs w:val="20"/>
              </w:rPr>
              <w:t>–</w:t>
            </w:r>
            <w:r w:rsidR="005A74BB">
              <w:rPr>
                <w:rFonts w:ascii="Arial Narrow" w:hAnsi="Arial Narrow" w:cs="Arial"/>
                <w:sz w:val="20"/>
                <w:szCs w:val="20"/>
              </w:rPr>
              <w:t>12</w:t>
            </w:r>
          </w:p>
        </w:tc>
        <w:tc>
          <w:tcPr>
            <w:tcW w:w="2063" w:type="dxa"/>
            <w:vAlign w:val="center"/>
          </w:tcPr>
          <w:p w14:paraId="3C9DB560" w14:textId="51720B2E"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High </w:t>
            </w:r>
            <w:r w:rsidR="005A74BB">
              <w:rPr>
                <w:rFonts w:ascii="Arial Narrow" w:hAnsi="Arial Narrow" w:cs="Arial"/>
                <w:sz w:val="20"/>
                <w:szCs w:val="20"/>
              </w:rPr>
              <w:t>13</w:t>
            </w:r>
            <w:r w:rsidRPr="00850356">
              <w:rPr>
                <w:rFonts w:ascii="Arial Narrow" w:hAnsi="Arial Narrow" w:cs="Arial"/>
                <w:sz w:val="20"/>
                <w:szCs w:val="20"/>
              </w:rPr>
              <w:t>–</w:t>
            </w:r>
            <w:r w:rsidR="005A74BB">
              <w:rPr>
                <w:rFonts w:ascii="Arial Narrow" w:hAnsi="Arial Narrow" w:cs="Arial"/>
                <w:sz w:val="20"/>
                <w:szCs w:val="20"/>
              </w:rPr>
              <w:t>16</w:t>
            </w:r>
          </w:p>
        </w:tc>
        <w:tc>
          <w:tcPr>
            <w:tcW w:w="2065" w:type="dxa"/>
          </w:tcPr>
          <w:p w14:paraId="0943F614" w14:textId="031595F5"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Very High </w:t>
            </w:r>
            <w:r w:rsidR="005A74BB">
              <w:rPr>
                <w:rFonts w:ascii="Arial Narrow" w:hAnsi="Arial Narrow" w:cs="Arial"/>
                <w:sz w:val="20"/>
                <w:szCs w:val="20"/>
              </w:rPr>
              <w:t>17</w:t>
            </w:r>
            <w:r w:rsidRPr="00850356">
              <w:rPr>
                <w:rFonts w:ascii="Arial Narrow" w:hAnsi="Arial Narrow" w:cs="Arial"/>
                <w:sz w:val="20"/>
                <w:szCs w:val="20"/>
              </w:rPr>
              <w:t>–</w:t>
            </w:r>
            <w:r w:rsidR="005A74BB">
              <w:rPr>
                <w:rFonts w:ascii="Arial Narrow" w:hAnsi="Arial Narrow" w:cs="Arial"/>
                <w:sz w:val="20"/>
                <w:szCs w:val="20"/>
              </w:rPr>
              <w:t>2</w:t>
            </w:r>
            <w:r w:rsidRPr="00850356">
              <w:rPr>
                <w:rFonts w:ascii="Arial Narrow" w:hAnsi="Arial Narrow" w:cs="Arial"/>
                <w:sz w:val="20"/>
                <w:szCs w:val="20"/>
              </w:rPr>
              <w:t>0</w:t>
            </w:r>
          </w:p>
        </w:tc>
      </w:tr>
    </w:tbl>
    <w:p w14:paraId="40742402" w14:textId="77777777" w:rsidR="008D74EF" w:rsidRDefault="008D74EF" w:rsidP="00241C58">
      <w:pPr>
        <w:pStyle w:val="VCAAfigures"/>
        <w:spacing w:before="0" w:after="0"/>
        <w:jc w:val="left"/>
      </w:pPr>
    </w:p>
    <w:sectPr w:rsidR="008D74EF" w:rsidSect="00850356">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FFAD" w14:textId="77777777" w:rsidR="00B53C52" w:rsidRDefault="00B53C52" w:rsidP="00304EA1">
      <w:pPr>
        <w:spacing w:after="0" w:line="240" w:lineRule="auto"/>
      </w:pPr>
      <w:r>
        <w:separator/>
      </w:r>
    </w:p>
  </w:endnote>
  <w:endnote w:type="continuationSeparator" w:id="0">
    <w:p w14:paraId="6FE6FA78" w14:textId="77777777" w:rsidR="00B53C52" w:rsidRDefault="00B53C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CE691B" w:rsidRPr="00D06414" w14:paraId="0E734A53" w14:textId="77777777" w:rsidTr="00BB3BAB">
      <w:trPr>
        <w:trHeight w:val="476"/>
      </w:trPr>
      <w:tc>
        <w:tcPr>
          <w:tcW w:w="1667" w:type="pct"/>
          <w:tcMar>
            <w:left w:w="0" w:type="dxa"/>
            <w:right w:w="0" w:type="dxa"/>
          </w:tcMar>
        </w:tcPr>
        <w:p w14:paraId="5102685E" w14:textId="77777777" w:rsidR="00CE691B" w:rsidRPr="00D06414" w:rsidRDefault="00CE69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1C5DBD3" wp14:editId="5E8F00E5">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46AC26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EB0C49A" w14:textId="77777777" w:rsidR="00CE691B" w:rsidRPr="00D06414" w:rsidRDefault="00CE691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790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F707B9"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2F2249D4" wp14:editId="51770E6D">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CE691B" w:rsidRPr="00D06414" w14:paraId="4BF3C259" w14:textId="77777777" w:rsidTr="000F5AAF">
      <w:tc>
        <w:tcPr>
          <w:tcW w:w="1459" w:type="pct"/>
          <w:tcMar>
            <w:left w:w="0" w:type="dxa"/>
            <w:right w:w="0" w:type="dxa"/>
          </w:tcMar>
        </w:tcPr>
        <w:p w14:paraId="27081041"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B6458D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3B11808" w14:textId="77777777" w:rsidR="00CE691B" w:rsidRPr="00D06414" w:rsidRDefault="00CE69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173A932"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3C36CE3" wp14:editId="1B3515F6">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2FED" w14:textId="77777777" w:rsidR="00B53C52" w:rsidRDefault="00B53C52" w:rsidP="00304EA1">
      <w:pPr>
        <w:spacing w:after="0" w:line="240" w:lineRule="auto"/>
      </w:pPr>
      <w:r>
        <w:separator/>
      </w:r>
    </w:p>
  </w:footnote>
  <w:footnote w:type="continuationSeparator" w:id="0">
    <w:p w14:paraId="6325D93F" w14:textId="77777777" w:rsidR="00B53C52" w:rsidRDefault="00B53C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7A79" w14:textId="71E8AD24" w:rsidR="00CE691B" w:rsidRPr="00D86DE4" w:rsidRDefault="000F5DA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41C58">
          <w:rPr>
            <w:color w:val="999999" w:themeColor="accent2"/>
          </w:rPr>
          <w:t>VCE Chinese Language, Culture and Society: Performance descriptors</w:t>
        </w:r>
      </w:sdtContent>
    </w:sdt>
    <w:r w:rsidR="00CE69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6A5F" w14:textId="77777777" w:rsidR="00CE691B" w:rsidRPr="009370BC" w:rsidRDefault="00CE691B" w:rsidP="00970580">
    <w:pPr>
      <w:spacing w:after="0"/>
      <w:ind w:right="-142"/>
      <w:jc w:val="right"/>
    </w:pPr>
    <w:r>
      <w:rPr>
        <w:noProof/>
        <w:lang w:val="en-AU" w:eastAsia="ja-JP"/>
      </w:rPr>
      <w:drawing>
        <wp:anchor distT="0" distB="0" distL="114300" distR="114300" simplePos="0" relativeHeight="251660288" behindDoc="1" locked="1" layoutInCell="1" allowOverlap="1" wp14:anchorId="5F713F37" wp14:editId="1693161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107574553">
    <w:abstractNumId w:val="4"/>
  </w:num>
  <w:num w:numId="2" w16cid:durableId="2016960925">
    <w:abstractNumId w:val="2"/>
  </w:num>
  <w:num w:numId="3" w16cid:durableId="1518814304">
    <w:abstractNumId w:val="1"/>
  </w:num>
  <w:num w:numId="4" w16cid:durableId="1156386308">
    <w:abstractNumId w:val="0"/>
  </w:num>
  <w:num w:numId="5" w16cid:durableId="508570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0F5DAB"/>
    <w:rsid w:val="00143520"/>
    <w:rsid w:val="00153AD2"/>
    <w:rsid w:val="001779EA"/>
    <w:rsid w:val="001D3246"/>
    <w:rsid w:val="001E2AB9"/>
    <w:rsid w:val="002279BA"/>
    <w:rsid w:val="002329F3"/>
    <w:rsid w:val="00241C58"/>
    <w:rsid w:val="00242AC0"/>
    <w:rsid w:val="00243F0D"/>
    <w:rsid w:val="00260767"/>
    <w:rsid w:val="002647BB"/>
    <w:rsid w:val="002754C1"/>
    <w:rsid w:val="002841C8"/>
    <w:rsid w:val="0028516B"/>
    <w:rsid w:val="002A7755"/>
    <w:rsid w:val="002C6F90"/>
    <w:rsid w:val="002E4FB5"/>
    <w:rsid w:val="00302FB8"/>
    <w:rsid w:val="00304EA1"/>
    <w:rsid w:val="0030656E"/>
    <w:rsid w:val="00311EFD"/>
    <w:rsid w:val="00313C4C"/>
    <w:rsid w:val="00314D81"/>
    <w:rsid w:val="00322FC6"/>
    <w:rsid w:val="0035293F"/>
    <w:rsid w:val="00373885"/>
    <w:rsid w:val="00391986"/>
    <w:rsid w:val="003A00B4"/>
    <w:rsid w:val="003B7637"/>
    <w:rsid w:val="003C5E71"/>
    <w:rsid w:val="004045CF"/>
    <w:rsid w:val="00417AA3"/>
    <w:rsid w:val="00420B63"/>
    <w:rsid w:val="00425DFE"/>
    <w:rsid w:val="00434EDB"/>
    <w:rsid w:val="00440B32"/>
    <w:rsid w:val="00443A55"/>
    <w:rsid w:val="0046078D"/>
    <w:rsid w:val="00476B9F"/>
    <w:rsid w:val="00495C80"/>
    <w:rsid w:val="004A2ED8"/>
    <w:rsid w:val="004F5BDA"/>
    <w:rsid w:val="0051631E"/>
    <w:rsid w:val="00537A1F"/>
    <w:rsid w:val="00566029"/>
    <w:rsid w:val="00574299"/>
    <w:rsid w:val="005923CB"/>
    <w:rsid w:val="005A74B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356"/>
    <w:rsid w:val="00852719"/>
    <w:rsid w:val="00860115"/>
    <w:rsid w:val="0088783C"/>
    <w:rsid w:val="008D74EF"/>
    <w:rsid w:val="009370BC"/>
    <w:rsid w:val="00970580"/>
    <w:rsid w:val="0098739B"/>
    <w:rsid w:val="009B61E5"/>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53C52"/>
    <w:rsid w:val="00B62480"/>
    <w:rsid w:val="00B6304B"/>
    <w:rsid w:val="00B81B70"/>
    <w:rsid w:val="00BB3BAB"/>
    <w:rsid w:val="00BD0724"/>
    <w:rsid w:val="00BD2B91"/>
    <w:rsid w:val="00BE5521"/>
    <w:rsid w:val="00BF6C23"/>
    <w:rsid w:val="00C53263"/>
    <w:rsid w:val="00C75F1D"/>
    <w:rsid w:val="00C95156"/>
    <w:rsid w:val="00CA0DC2"/>
    <w:rsid w:val="00CB68E8"/>
    <w:rsid w:val="00CC73CD"/>
    <w:rsid w:val="00CE691B"/>
    <w:rsid w:val="00D04F01"/>
    <w:rsid w:val="00D06414"/>
    <w:rsid w:val="00D24E5A"/>
    <w:rsid w:val="00D338E4"/>
    <w:rsid w:val="00D51947"/>
    <w:rsid w:val="00D532F0"/>
    <w:rsid w:val="00D77413"/>
    <w:rsid w:val="00D7790E"/>
    <w:rsid w:val="00D82759"/>
    <w:rsid w:val="00D86DE4"/>
    <w:rsid w:val="00DE1909"/>
    <w:rsid w:val="00DE51DB"/>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2FCC7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301FB"/>
    <w:rsid w:val="009325D2"/>
    <w:rsid w:val="00CE28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1aab662d-a6b2-42d6-996b-a574723d1ad8"/>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F347A010-C5E9-4EF4-A981-A406B01447F8}">
  <ds:schemaRefs>
    <ds:schemaRef ds:uri="http://schemas.openxmlformats.org/officeDocument/2006/bibliography"/>
  </ds:schemaRefs>
</ds:datastoreItem>
</file>

<file path=customXml/itemProps4.xml><?xml version="1.0" encoding="utf-8"?>
<ds:datastoreItem xmlns:ds="http://schemas.openxmlformats.org/officeDocument/2006/customXml" ds:itemID="{D54E66F6-6B8B-42DE-BEC7-57E4C805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VCE Chinese Language, Culture and Society: Performance descriptors</vt:lpstr>
    </vt:vector>
  </TitlesOfParts>
  <Company>Victorian Curriculum and Assessment Authority</Company>
  <LinksUpToDate>false</LinksUpToDate>
  <CharactersWithSpaces>4782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Language, Culture and Society: Performance descriptors</dc:title>
  <dc:subject>VCE Chinese Language, Culture and Society</dc:subject>
  <dc:creator>vcaa@education.vic.gov.au</dc:creator>
  <cp:keywords>chinese, language, culture, society, performance descriptors, Unit 4, Outcome 1</cp:keywords>
  <cp:lastModifiedBy>Julie Coleman</cp:lastModifiedBy>
  <cp:revision>4</cp:revision>
  <cp:lastPrinted>2015-05-15T02:36:00Z</cp:lastPrinted>
  <dcterms:created xsi:type="dcterms:W3CDTF">2023-02-13T02:17:00Z</dcterms:created>
  <dcterms:modified xsi:type="dcterms:W3CDTF">2023-02-13T02:31:00Z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