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04" w:rsidRDefault="00DA6BEC" w:rsidP="00FD4C72">
      <w:pPr>
        <w:pStyle w:val="VCAADocumenttitle"/>
        <w:spacing w:before="480" w:after="480" w:line="620" w:lineRule="exact"/>
        <w:rPr>
          <w:bCs/>
          <w:sz w:val="40"/>
          <w:szCs w:val="40"/>
        </w:rPr>
      </w:pPr>
      <w:r w:rsidRPr="00DA6BEC">
        <w:rPr>
          <w:bCs/>
        </w:rPr>
        <w:t xml:space="preserve">VCE English/English as an Additional Language </w:t>
      </w:r>
      <w:r w:rsidR="00E85604">
        <w:rPr>
          <w:bCs/>
        </w:rPr>
        <w:br/>
      </w:r>
      <w:r w:rsidRPr="00E85604">
        <w:rPr>
          <w:bCs/>
          <w:sz w:val="40"/>
          <w:szCs w:val="40"/>
        </w:rPr>
        <w:t>Units 1 and 2: 2016–202</w:t>
      </w:r>
      <w:r w:rsidR="005E6F97" w:rsidRPr="00E85604">
        <w:rPr>
          <w:bCs/>
          <w:sz w:val="40"/>
          <w:szCs w:val="40"/>
        </w:rPr>
        <w:t>2</w:t>
      </w:r>
      <w:r w:rsidRPr="00E85604">
        <w:rPr>
          <w:bCs/>
          <w:sz w:val="40"/>
          <w:szCs w:val="40"/>
        </w:rPr>
        <w:t xml:space="preserve">, </w:t>
      </w:r>
      <w:r w:rsidR="005E6F97" w:rsidRPr="00E85604">
        <w:rPr>
          <w:bCs/>
          <w:sz w:val="40"/>
          <w:szCs w:val="40"/>
        </w:rPr>
        <w:br/>
      </w:r>
      <w:r w:rsidRPr="00E85604">
        <w:rPr>
          <w:bCs/>
          <w:sz w:val="40"/>
          <w:szCs w:val="40"/>
        </w:rPr>
        <w:t>Units 3 and 4: 2017–202</w:t>
      </w:r>
      <w:r w:rsidR="00E85604" w:rsidRPr="00E85604">
        <w:rPr>
          <w:bCs/>
          <w:sz w:val="40"/>
          <w:szCs w:val="40"/>
        </w:rPr>
        <w:t>3</w:t>
      </w:r>
      <w:r w:rsidRPr="00E85604">
        <w:rPr>
          <w:bCs/>
          <w:sz w:val="40"/>
          <w:szCs w:val="40"/>
        </w:rPr>
        <w:t xml:space="preserve"> </w:t>
      </w:r>
    </w:p>
    <w:p w:rsidR="00F4525C" w:rsidRDefault="00DA6BEC" w:rsidP="00FD4C72">
      <w:pPr>
        <w:pStyle w:val="VCAADocumenttitle"/>
        <w:spacing w:before="480" w:after="480" w:line="620" w:lineRule="exact"/>
      </w:pPr>
      <w:r w:rsidRPr="00DA6BEC">
        <w:rPr>
          <w:bCs/>
        </w:rPr>
        <w:t>Frequen</w:t>
      </w:r>
      <w:bookmarkStart w:id="0" w:name="_GoBack"/>
      <w:bookmarkEnd w:id="0"/>
      <w:r w:rsidRPr="00DA6BEC">
        <w:rPr>
          <w:bCs/>
        </w:rPr>
        <w:t>tly asked questions</w:t>
      </w:r>
      <w:r w:rsidR="005E6F97">
        <w:rPr>
          <w:bCs/>
        </w:rPr>
        <w:t xml:space="preserve"> (FAQs)</w:t>
      </w:r>
    </w:p>
    <w:p w:rsidR="00B042EC" w:rsidRDefault="00B042EC" w:rsidP="00B042EC">
      <w:pPr>
        <w:pStyle w:val="VCAAHeading4"/>
      </w:pPr>
      <w:bookmarkStart w:id="1" w:name="TemplateOverview"/>
      <w:bookmarkEnd w:id="1"/>
      <w:r>
        <w:t>Why is implementation being staged in this study?</w:t>
      </w:r>
    </w:p>
    <w:p w:rsidR="00B042EC" w:rsidRDefault="00B042EC" w:rsidP="00B042EC">
      <w:pPr>
        <w:pStyle w:val="VCAAbody"/>
      </w:pPr>
      <w:r>
        <w:t>Schools are being given a long lead time to prepare for the new features of the study.</w:t>
      </w:r>
    </w:p>
    <w:p w:rsidR="00FD4C72" w:rsidRDefault="009B5023" w:rsidP="00FD4C72">
      <w:pPr>
        <w:pStyle w:val="VCAAHeading4"/>
      </w:pPr>
      <w:r>
        <w:rPr>
          <w:szCs w:val="20"/>
        </w:rPr>
        <w:t>What resources are available to support the implementation of VCE English/EAL?</w:t>
      </w:r>
    </w:p>
    <w:p w:rsidR="000F1AEB" w:rsidRDefault="000F1AEB" w:rsidP="000F1AEB">
      <w:pPr>
        <w:rPr>
          <w:rFonts w:ascii="Arial" w:hAnsi="Arial" w:cs="Arial"/>
          <w:color w:val="000000" w:themeColor="text1"/>
          <w:lang w:val="en-AU"/>
        </w:rPr>
      </w:pPr>
      <w:r w:rsidRPr="000F1AEB">
        <w:rPr>
          <w:rFonts w:ascii="Arial" w:hAnsi="Arial" w:cs="Arial"/>
          <w:color w:val="000000" w:themeColor="text1"/>
          <w:lang w:val="en-AU"/>
        </w:rPr>
        <w:t xml:space="preserve">The </w:t>
      </w:r>
      <w:r w:rsidRPr="000F1AEB">
        <w:rPr>
          <w:rFonts w:ascii="Arial" w:hAnsi="Arial" w:cs="Arial"/>
          <w:i/>
          <w:color w:val="000000" w:themeColor="text1"/>
          <w:lang w:val="en-AU"/>
        </w:rPr>
        <w:t>Advice for teachers</w:t>
      </w:r>
      <w:r w:rsidRPr="000F1AEB">
        <w:rPr>
          <w:rFonts w:ascii="Arial" w:hAnsi="Arial" w:cs="Arial"/>
          <w:color w:val="000000" w:themeColor="text1"/>
          <w:lang w:val="en-AU"/>
        </w:rPr>
        <w:t xml:space="preserve"> </w:t>
      </w:r>
      <w:r w:rsidR="009611CB">
        <w:rPr>
          <w:rFonts w:ascii="Arial" w:hAnsi="Arial" w:cs="Arial"/>
          <w:color w:val="000000" w:themeColor="text1"/>
          <w:lang w:val="en-AU"/>
        </w:rPr>
        <w:t xml:space="preserve">resource </w:t>
      </w:r>
      <w:r w:rsidRPr="000F1AEB">
        <w:rPr>
          <w:rFonts w:ascii="Arial" w:hAnsi="Arial" w:cs="Arial"/>
          <w:color w:val="000000" w:themeColor="text1"/>
          <w:lang w:val="en-AU"/>
        </w:rPr>
        <w:t>will include teaching and assessment advice that will support teachers to impleme</w:t>
      </w:r>
      <w:r w:rsidR="009611CB">
        <w:rPr>
          <w:rFonts w:ascii="Arial" w:hAnsi="Arial" w:cs="Arial"/>
          <w:color w:val="000000" w:themeColor="text1"/>
          <w:lang w:val="en-AU"/>
        </w:rPr>
        <w:t>nt the study design effectively</w:t>
      </w:r>
      <w:r w:rsidRPr="000F1AEB">
        <w:rPr>
          <w:rFonts w:ascii="Arial" w:hAnsi="Arial" w:cs="Arial"/>
          <w:color w:val="000000" w:themeColor="text1"/>
          <w:lang w:val="en-AU"/>
        </w:rPr>
        <w:t>.</w:t>
      </w:r>
    </w:p>
    <w:p w:rsidR="009611CB" w:rsidRPr="000F1AEB" w:rsidRDefault="009611CB" w:rsidP="000F1AEB">
      <w:pPr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 xml:space="preserve">Implementation briefings were run in Semester 1, 2015 and the material from these, including presentations, handouts and a recording of one presentation, are available on the VATE website: </w:t>
      </w:r>
      <w:hyperlink r:id="rId11" w:history="1">
        <w:r w:rsidR="00B87927" w:rsidRPr="001D42C1">
          <w:rPr>
            <w:rStyle w:val="Hyperlink"/>
            <w:rFonts w:ascii="Arial" w:hAnsi="Arial" w:cs="Arial"/>
            <w:lang w:val="en-AU"/>
          </w:rPr>
          <w:t>http://www.vate.org.au/index.php/implementation-briefings.html</w:t>
        </w:r>
      </w:hyperlink>
      <w:r>
        <w:rPr>
          <w:rFonts w:ascii="Arial" w:hAnsi="Arial" w:cs="Arial"/>
          <w:color w:val="000000" w:themeColor="text1"/>
          <w:lang w:val="en-AU"/>
        </w:rPr>
        <w:t>.</w:t>
      </w:r>
    </w:p>
    <w:p w:rsidR="00B87927" w:rsidRDefault="00B87927" w:rsidP="00B87927">
      <w:pPr>
        <w:rPr>
          <w:rFonts w:ascii="Arial" w:hAnsi="Arial" w:cs="Arial"/>
          <w:color w:val="000000" w:themeColor="text1"/>
          <w:lang w:val="en-AU"/>
        </w:rPr>
      </w:pPr>
      <w:r w:rsidRPr="00B87927">
        <w:rPr>
          <w:rFonts w:ascii="Arial" w:hAnsi="Arial" w:cs="Arial"/>
          <w:color w:val="000000" w:themeColor="text1"/>
          <w:lang w:val="en-AU"/>
        </w:rPr>
        <w:t xml:space="preserve">Examination specifications and sample material will be published in Term 1 2017. </w:t>
      </w:r>
    </w:p>
    <w:p w:rsidR="00B87927" w:rsidRPr="00B87927" w:rsidRDefault="00B87927" w:rsidP="00B87927">
      <w:pPr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Additional resources will be published on the VCE English/EAL study webpage.</w:t>
      </w:r>
    </w:p>
    <w:p w:rsidR="00FD4C72" w:rsidRDefault="00B042EC" w:rsidP="00DB5A3B">
      <w:pPr>
        <w:pStyle w:val="VCAAHeading4"/>
      </w:pPr>
      <w:r>
        <w:rPr>
          <w:szCs w:val="20"/>
        </w:rPr>
        <w:t>Will the examination in Units 3 and 4 allow for a creative response</w:t>
      </w:r>
      <w:r w:rsidR="000F1AEB" w:rsidRPr="00675B94">
        <w:rPr>
          <w:szCs w:val="20"/>
        </w:rPr>
        <w:t>?</w:t>
      </w:r>
    </w:p>
    <w:p w:rsidR="000F1AEB" w:rsidRPr="000F1AEB" w:rsidRDefault="00B042EC" w:rsidP="000F1AEB">
      <w:pPr>
        <w:pStyle w:val="VCAAbody"/>
        <w:rPr>
          <w:lang w:val="en-AU"/>
        </w:rPr>
      </w:pPr>
      <w:r>
        <w:rPr>
          <w:lang w:val="en-AU"/>
        </w:rPr>
        <w:t xml:space="preserve">There will be no creative response on the examination. </w:t>
      </w:r>
      <w:r w:rsidR="000F1AEB" w:rsidRPr="000F1AEB">
        <w:rPr>
          <w:lang w:val="en-AU"/>
        </w:rPr>
        <w:t xml:space="preserve">The conditions of school-assessed coursework allow for greater </w:t>
      </w:r>
      <w:r>
        <w:rPr>
          <w:lang w:val="en-AU"/>
        </w:rPr>
        <w:t xml:space="preserve">flexibility that </w:t>
      </w:r>
      <w:r w:rsidR="000F1AEB" w:rsidRPr="000F1AEB">
        <w:rPr>
          <w:lang w:val="en-AU"/>
        </w:rPr>
        <w:t>support</w:t>
      </w:r>
      <w:r>
        <w:rPr>
          <w:lang w:val="en-AU"/>
        </w:rPr>
        <w:t>s</w:t>
      </w:r>
      <w:r w:rsidR="000F1AEB" w:rsidRPr="000F1AEB">
        <w:rPr>
          <w:lang w:val="en-AU"/>
        </w:rPr>
        <w:t xml:space="preserve"> students to work creatively. </w:t>
      </w:r>
    </w:p>
    <w:p w:rsidR="00DB5A3B" w:rsidRPr="00A40966" w:rsidRDefault="00B042EC" w:rsidP="000F1AEB">
      <w:pPr>
        <w:pStyle w:val="VCAAbody"/>
      </w:pPr>
      <w:r>
        <w:rPr>
          <w:lang w:val="en-AU"/>
        </w:rPr>
        <w:t>T</w:t>
      </w:r>
      <w:r w:rsidR="000F1AEB" w:rsidRPr="000F1AEB">
        <w:rPr>
          <w:lang w:val="en-AU"/>
        </w:rPr>
        <w:t xml:space="preserve">he creative response </w:t>
      </w:r>
      <w:r>
        <w:rPr>
          <w:lang w:val="en-AU"/>
        </w:rPr>
        <w:t>in Unit</w:t>
      </w:r>
      <w:r w:rsidR="000F1AEB" w:rsidRPr="000F1AEB">
        <w:rPr>
          <w:lang w:val="en-AU"/>
        </w:rPr>
        <w:t xml:space="preserve"> 3 build</w:t>
      </w:r>
      <w:r>
        <w:rPr>
          <w:lang w:val="en-AU"/>
        </w:rPr>
        <w:t>s</w:t>
      </w:r>
      <w:r w:rsidR="000F1AEB" w:rsidRPr="000F1AEB">
        <w:rPr>
          <w:lang w:val="en-AU"/>
        </w:rPr>
        <w:t xml:space="preserve"> important skills of analysing and interpreting texts</w:t>
      </w:r>
      <w:r>
        <w:rPr>
          <w:lang w:val="en-AU"/>
        </w:rPr>
        <w:t xml:space="preserve">, which </w:t>
      </w:r>
      <w:r w:rsidR="000F1AEB" w:rsidRPr="000F1AEB">
        <w:rPr>
          <w:lang w:val="en-AU"/>
        </w:rPr>
        <w:t xml:space="preserve">are </w:t>
      </w:r>
      <w:r>
        <w:rPr>
          <w:lang w:val="en-AU"/>
        </w:rPr>
        <w:t xml:space="preserve">then </w:t>
      </w:r>
      <w:r w:rsidR="000F1AEB" w:rsidRPr="000F1AEB">
        <w:rPr>
          <w:lang w:val="en-AU"/>
        </w:rPr>
        <w:t>assessed in the examination.</w:t>
      </w:r>
    </w:p>
    <w:p w:rsidR="00FD4C72" w:rsidRDefault="000F1AEB" w:rsidP="00DB5A3B">
      <w:pPr>
        <w:pStyle w:val="VCAAHeading4"/>
      </w:pPr>
      <w:r w:rsidRPr="00675B94">
        <w:rPr>
          <w:szCs w:val="20"/>
        </w:rPr>
        <w:t>Will the eligibility criteria for EAL status be changing?</w:t>
      </w:r>
    </w:p>
    <w:p w:rsidR="00DB5A3B" w:rsidRDefault="000F1AEB" w:rsidP="00DB5A3B">
      <w:pPr>
        <w:pStyle w:val="VCAAbody"/>
        <w:rPr>
          <w:lang w:val="en-AU"/>
        </w:rPr>
      </w:pPr>
      <w:r w:rsidRPr="000F1AEB">
        <w:rPr>
          <w:lang w:val="en-AU"/>
        </w:rPr>
        <w:t xml:space="preserve">No. There is no change </w:t>
      </w:r>
      <w:r w:rsidR="0010054D">
        <w:rPr>
          <w:lang w:val="en-AU"/>
        </w:rPr>
        <w:t xml:space="preserve">to </w:t>
      </w:r>
      <w:r w:rsidRPr="000F1AEB">
        <w:rPr>
          <w:lang w:val="en-AU"/>
        </w:rPr>
        <w:t xml:space="preserve">the </w:t>
      </w:r>
      <w:r w:rsidR="0010054D">
        <w:rPr>
          <w:lang w:val="en-AU"/>
        </w:rPr>
        <w:t xml:space="preserve">current </w:t>
      </w:r>
      <w:r w:rsidRPr="000F1AEB">
        <w:rPr>
          <w:lang w:val="en-AU"/>
        </w:rPr>
        <w:t xml:space="preserve">eligibility criteria for EAL Units 3 and 4 published in the </w:t>
      </w:r>
      <w:r w:rsidRPr="000F1AEB">
        <w:rPr>
          <w:i/>
          <w:lang w:val="en-AU"/>
        </w:rPr>
        <w:t>VCE and VCAL Administrative Handbook</w:t>
      </w:r>
      <w:r w:rsidRPr="000F1AEB">
        <w:rPr>
          <w:lang w:val="en-AU"/>
        </w:rPr>
        <w:t>.</w:t>
      </w:r>
    </w:p>
    <w:p w:rsidR="000F1AEB" w:rsidRDefault="000F1AEB" w:rsidP="000F1AEB">
      <w:pPr>
        <w:pStyle w:val="VCAAHeading4"/>
      </w:pPr>
      <w:r w:rsidRPr="00675B94">
        <w:rPr>
          <w:szCs w:val="20"/>
        </w:rPr>
        <w:t>Will hearing</w:t>
      </w:r>
      <w:r w:rsidR="00402E7D">
        <w:rPr>
          <w:szCs w:val="20"/>
        </w:rPr>
        <w:t>-</w:t>
      </w:r>
      <w:r w:rsidRPr="00675B94">
        <w:rPr>
          <w:szCs w:val="20"/>
        </w:rPr>
        <w:t>impaired students still be able to enrol in EAL</w:t>
      </w:r>
      <w:r>
        <w:rPr>
          <w:szCs w:val="20"/>
        </w:rPr>
        <w:t xml:space="preserve"> Units 3 and 4</w:t>
      </w:r>
      <w:r w:rsidRPr="00675B94">
        <w:rPr>
          <w:szCs w:val="20"/>
        </w:rPr>
        <w:t>?</w:t>
      </w:r>
    </w:p>
    <w:p w:rsidR="000F1AEB" w:rsidRPr="00A40966" w:rsidRDefault="000F1AEB" w:rsidP="000F1AEB">
      <w:pPr>
        <w:pStyle w:val="VCAAbody"/>
      </w:pPr>
      <w:r w:rsidRPr="000F1AEB">
        <w:rPr>
          <w:lang w:val="en-AU"/>
        </w:rPr>
        <w:t>Yes. Hearing</w:t>
      </w:r>
      <w:r w:rsidR="00402E7D">
        <w:rPr>
          <w:lang w:val="en-AU"/>
        </w:rPr>
        <w:t>-</w:t>
      </w:r>
      <w:r w:rsidRPr="000F1AEB">
        <w:rPr>
          <w:lang w:val="en-AU"/>
        </w:rPr>
        <w:t xml:space="preserve">impaired students who meet the eligibility criteria as published in the </w:t>
      </w:r>
      <w:r w:rsidRPr="000F1AEB">
        <w:rPr>
          <w:i/>
          <w:lang w:val="en-AU"/>
        </w:rPr>
        <w:t>VCE and VCAL Administrative Handbook</w:t>
      </w:r>
      <w:r w:rsidRPr="000F1AEB">
        <w:rPr>
          <w:lang w:val="en-AU"/>
        </w:rPr>
        <w:t xml:space="preserve"> will be able to enrol in EAL Units 3 and 4.</w:t>
      </w:r>
    </w:p>
    <w:p w:rsidR="000F1AEB" w:rsidRDefault="000F1AEB" w:rsidP="000F1AEB">
      <w:pPr>
        <w:pStyle w:val="VCAAHeading4"/>
      </w:pPr>
      <w:r w:rsidRPr="00675B94">
        <w:rPr>
          <w:szCs w:val="20"/>
        </w:rPr>
        <w:t>Will hearing</w:t>
      </w:r>
      <w:r w:rsidR="00402E7D">
        <w:rPr>
          <w:szCs w:val="20"/>
        </w:rPr>
        <w:t>-</w:t>
      </w:r>
      <w:r w:rsidRPr="00675B94">
        <w:rPr>
          <w:szCs w:val="20"/>
        </w:rPr>
        <w:t>impaired students have to do the listening task</w:t>
      </w:r>
      <w:r w:rsidR="00402E7D">
        <w:rPr>
          <w:szCs w:val="20"/>
        </w:rPr>
        <w:t xml:space="preserve"> in Unit 4</w:t>
      </w:r>
      <w:r w:rsidRPr="00675B94">
        <w:rPr>
          <w:szCs w:val="20"/>
        </w:rPr>
        <w:t>?</w:t>
      </w:r>
    </w:p>
    <w:p w:rsidR="000F1AEB" w:rsidRPr="00A40966" w:rsidRDefault="000F1AEB" w:rsidP="000F1AEB">
      <w:pPr>
        <w:pStyle w:val="VCAAbody"/>
      </w:pPr>
      <w:r w:rsidRPr="000F1AEB">
        <w:rPr>
          <w:lang w:val="en-AU"/>
        </w:rPr>
        <w:t>The VCAA is currently working with members of the hearing</w:t>
      </w:r>
      <w:r w:rsidR="00402E7D">
        <w:rPr>
          <w:lang w:val="en-AU"/>
        </w:rPr>
        <w:t>-</w:t>
      </w:r>
      <w:r w:rsidRPr="000F1AEB">
        <w:rPr>
          <w:lang w:val="en-AU"/>
        </w:rPr>
        <w:t>impaired community to determine appropriate assessment options for hearing</w:t>
      </w:r>
      <w:r w:rsidR="00402E7D">
        <w:rPr>
          <w:lang w:val="en-AU"/>
        </w:rPr>
        <w:t>-</w:t>
      </w:r>
      <w:r w:rsidRPr="000F1AEB">
        <w:rPr>
          <w:lang w:val="en-AU"/>
        </w:rPr>
        <w:t>impaired students.</w:t>
      </w:r>
    </w:p>
    <w:p w:rsidR="00402E7D" w:rsidRDefault="00402E7D" w:rsidP="000F1AEB">
      <w:pPr>
        <w:pStyle w:val="VCAAHeading4"/>
        <w:rPr>
          <w:szCs w:val="20"/>
        </w:rPr>
      </w:pPr>
    </w:p>
    <w:p w:rsidR="00402E7D" w:rsidRDefault="00402E7D" w:rsidP="000F1AEB">
      <w:pPr>
        <w:pStyle w:val="VCAAHeading4"/>
        <w:rPr>
          <w:szCs w:val="20"/>
        </w:rPr>
      </w:pPr>
    </w:p>
    <w:p w:rsidR="00402E7D" w:rsidRDefault="00402E7D" w:rsidP="000F1AEB">
      <w:pPr>
        <w:pStyle w:val="VCAAHeading4"/>
        <w:rPr>
          <w:szCs w:val="20"/>
        </w:rPr>
      </w:pPr>
    </w:p>
    <w:p w:rsidR="000F1AEB" w:rsidRDefault="00402E7D" w:rsidP="000F1AEB">
      <w:pPr>
        <w:pStyle w:val="VCAAHeading4"/>
      </w:pPr>
      <w:r>
        <w:rPr>
          <w:szCs w:val="20"/>
        </w:rPr>
        <w:t>Why are</w:t>
      </w:r>
      <w:r w:rsidR="000F1AEB" w:rsidRPr="00675B94">
        <w:rPr>
          <w:szCs w:val="20"/>
        </w:rPr>
        <w:t xml:space="preserve"> task conditions </w:t>
      </w:r>
      <w:r>
        <w:rPr>
          <w:szCs w:val="20"/>
        </w:rPr>
        <w:t xml:space="preserve">for Units 3 and 4 </w:t>
      </w:r>
      <w:r w:rsidR="000F1AEB">
        <w:rPr>
          <w:szCs w:val="20"/>
        </w:rPr>
        <w:t>provided in the study design</w:t>
      </w:r>
      <w:r w:rsidR="000F1AEB" w:rsidRPr="00675B94">
        <w:rPr>
          <w:szCs w:val="20"/>
        </w:rPr>
        <w:t>?</w:t>
      </w:r>
    </w:p>
    <w:p w:rsidR="000F1AEB" w:rsidRPr="000F1AEB" w:rsidRDefault="000F1AEB" w:rsidP="000F1AEB">
      <w:pPr>
        <w:pStyle w:val="VCAAbody"/>
        <w:rPr>
          <w:lang w:val="en-AU"/>
        </w:rPr>
      </w:pPr>
      <w:r w:rsidRPr="000F1AEB">
        <w:rPr>
          <w:lang w:val="en-AU"/>
        </w:rPr>
        <w:t xml:space="preserve">The task conditions </w:t>
      </w:r>
      <w:r w:rsidR="00402E7D">
        <w:rPr>
          <w:lang w:val="en-AU"/>
        </w:rPr>
        <w:t xml:space="preserve">for Units 3 and 4 </w:t>
      </w:r>
      <w:r w:rsidRPr="000F1AEB">
        <w:rPr>
          <w:lang w:val="en-AU"/>
        </w:rPr>
        <w:t xml:space="preserve">provide an indication of what constitutes a reasonable amount of evidence to collect in order to make a judgement about student performance. </w:t>
      </w:r>
    </w:p>
    <w:p w:rsidR="00ED57CA" w:rsidRDefault="00ED57CA" w:rsidP="00ED57CA">
      <w:pPr>
        <w:pStyle w:val="VCAAHeading4"/>
      </w:pPr>
      <w:r w:rsidRPr="00675B94">
        <w:rPr>
          <w:szCs w:val="20"/>
        </w:rPr>
        <w:t>Why is it compulsory to complete the oral</w:t>
      </w:r>
      <w:r>
        <w:rPr>
          <w:szCs w:val="20"/>
        </w:rPr>
        <w:t xml:space="preserve"> assessment</w:t>
      </w:r>
      <w:r w:rsidRPr="00675B94">
        <w:rPr>
          <w:szCs w:val="20"/>
        </w:rPr>
        <w:t xml:space="preserve"> in Unit 4 Area of Study 2: Presenting argument?</w:t>
      </w:r>
    </w:p>
    <w:p w:rsidR="00ED57CA" w:rsidRPr="00ED57CA" w:rsidRDefault="00ED57CA" w:rsidP="00ED57CA">
      <w:pPr>
        <w:pStyle w:val="VCAAbody"/>
        <w:rPr>
          <w:lang w:val="en-AU"/>
        </w:rPr>
      </w:pPr>
      <w:r w:rsidRPr="00ED57CA">
        <w:rPr>
          <w:lang w:val="en-AU"/>
        </w:rPr>
        <w:t>There are three reasons.</w:t>
      </w:r>
    </w:p>
    <w:p w:rsidR="00ED57CA" w:rsidRPr="00ED57CA" w:rsidRDefault="00ED57CA" w:rsidP="00AC692F">
      <w:pPr>
        <w:pStyle w:val="VCAAbody"/>
        <w:numPr>
          <w:ilvl w:val="0"/>
          <w:numId w:val="15"/>
        </w:numPr>
        <w:rPr>
          <w:lang w:val="en-AU"/>
        </w:rPr>
      </w:pPr>
      <w:r w:rsidRPr="00ED57CA">
        <w:rPr>
          <w:lang w:val="en-AU"/>
        </w:rPr>
        <w:t>This area of study is the most appropriate context for teaching the skills of oral presentation.</w:t>
      </w:r>
    </w:p>
    <w:p w:rsidR="00ED57CA" w:rsidRPr="00ED57CA" w:rsidRDefault="00ED57CA" w:rsidP="00AC692F">
      <w:pPr>
        <w:pStyle w:val="VCAAbody"/>
        <w:numPr>
          <w:ilvl w:val="0"/>
          <w:numId w:val="15"/>
        </w:numPr>
        <w:rPr>
          <w:lang w:val="en-AU"/>
        </w:rPr>
      </w:pPr>
      <w:r w:rsidRPr="00ED57CA">
        <w:rPr>
          <w:lang w:val="en-AU"/>
        </w:rPr>
        <w:t>Developmentally, it is most appropriate to analyse how others construct persuasive texts before students construct their own persuasive texts.</w:t>
      </w:r>
    </w:p>
    <w:p w:rsidR="00FD4C72" w:rsidRDefault="00ED57CA" w:rsidP="00AC692F">
      <w:pPr>
        <w:pStyle w:val="VCAAbody"/>
        <w:numPr>
          <w:ilvl w:val="0"/>
          <w:numId w:val="15"/>
        </w:numPr>
        <w:rPr>
          <w:lang w:val="en-AU"/>
        </w:rPr>
      </w:pPr>
      <w:r w:rsidRPr="00ED57CA">
        <w:rPr>
          <w:lang w:val="en-AU"/>
        </w:rPr>
        <w:t>Assessing oral presentations can be time-consuming and there is only one other assessment in Unit 4.</w:t>
      </w:r>
    </w:p>
    <w:sectPr w:rsidR="00FD4C72" w:rsidSect="00A4096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134" w:bottom="1134" w:left="1134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EC" w:rsidRDefault="00DA6BEC" w:rsidP="00304EA1">
      <w:pPr>
        <w:spacing w:after="0" w:line="240" w:lineRule="auto"/>
      </w:pPr>
      <w:r>
        <w:separator/>
      </w:r>
    </w:p>
  </w:endnote>
  <w:endnote w:type="continuationSeparator" w:id="0">
    <w:p w:rsidR="00DA6BEC" w:rsidRDefault="00DA6BE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5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3685"/>
    </w:tblGrid>
    <w:tr w:rsidR="00DA6BEC" w:rsidTr="00A24B2D">
      <w:trPr>
        <w:trHeight w:val="701"/>
      </w:trPr>
      <w:tc>
        <w:tcPr>
          <w:tcW w:w="2835" w:type="dxa"/>
          <w:vAlign w:val="center"/>
        </w:tcPr>
        <w:p w:rsidR="00DA6BEC" w:rsidRPr="002329F3" w:rsidRDefault="00DA6BEC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3685" w:type="dxa"/>
          <w:vAlign w:val="center"/>
        </w:tcPr>
        <w:p w:rsidR="00DA6BEC" w:rsidRPr="00B41951" w:rsidRDefault="00DA6BEC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E85604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DA6BEC" w:rsidRPr="00243F0D" w:rsidRDefault="00DA6BEC" w:rsidP="00243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5103"/>
      <w:gridCol w:w="1457"/>
    </w:tblGrid>
    <w:tr w:rsidR="00DA6BEC" w:rsidTr="00852719">
      <w:trPr>
        <w:trHeight w:val="709"/>
      </w:trPr>
      <w:tc>
        <w:tcPr>
          <w:tcW w:w="3510" w:type="dxa"/>
          <w:vAlign w:val="center"/>
        </w:tcPr>
        <w:p w:rsidR="00DA6BEC" w:rsidRPr="004A2ED8" w:rsidRDefault="00DA6BEC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5103" w:type="dxa"/>
          <w:shd w:val="clear" w:color="auto" w:fill="auto"/>
          <w:vAlign w:val="center"/>
        </w:tcPr>
        <w:p w:rsidR="00DA6BEC" w:rsidRPr="00B41951" w:rsidRDefault="00DA6BEC" w:rsidP="002329F3">
          <w:pPr>
            <w:pStyle w:val="VCAAbody"/>
            <w:jc w:val="left"/>
            <w:rPr>
              <w:sz w:val="18"/>
              <w:szCs w:val="18"/>
            </w:rPr>
          </w:pPr>
        </w:p>
      </w:tc>
      <w:tc>
        <w:tcPr>
          <w:tcW w:w="1457" w:type="dxa"/>
          <w:vAlign w:val="center"/>
        </w:tcPr>
        <w:p w:rsidR="00DA6BEC" w:rsidRDefault="00856645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  <w:r>
            <w:rPr>
              <w:noProof/>
              <w:lang w:val="en-AU" w:eastAsia="ja-JP"/>
            </w:rPr>
            <w:drawing>
              <wp:inline distT="0" distB="0" distL="0" distR="0" wp14:anchorId="004E46F3" wp14:editId="56048EAD">
                <wp:extent cx="649225" cy="367734"/>
                <wp:effectExtent l="0" t="0" r="0" b="0"/>
                <wp:docPr id="1" name="Picture 1" descr="State Government of Victoria insignia" title="Victoria State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GV Insignia RGB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225" cy="3677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6BEC" w:rsidRDefault="00DA6BEC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EC" w:rsidRDefault="00DA6BEC" w:rsidP="00304EA1">
      <w:pPr>
        <w:spacing w:after="0" w:line="240" w:lineRule="auto"/>
      </w:pPr>
      <w:r>
        <w:separator/>
      </w:r>
    </w:p>
  </w:footnote>
  <w:footnote w:type="continuationSeparator" w:id="0">
    <w:p w:rsidR="00DA6BEC" w:rsidRDefault="00DA6BE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EC" w:rsidRPr="00D86DE4" w:rsidRDefault="005E6F97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>VCE English/English as an Additional Language Units 1 and 2: 2016–2022, Units 3 and 4: 2017–202</w:t>
    </w:r>
    <w:r w:rsidR="00E85604">
      <w:rPr>
        <w:color w:val="999999" w:themeColor="accent2"/>
      </w:rPr>
      <w:t>3</w:t>
    </w:r>
    <w:r>
      <w:rPr>
        <w:color w:val="999999" w:themeColor="accent2"/>
      </w:rPr>
      <w:br/>
      <w:t>Frequently asked questions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EC" w:rsidRPr="009370BC" w:rsidRDefault="00DA6BEC" w:rsidP="00243F0D">
    <w:r>
      <w:rPr>
        <w:noProof/>
        <w:lang w:val="en-AU" w:eastAsia="ja-JP"/>
      </w:rPr>
      <w:drawing>
        <wp:anchor distT="0" distB="0" distL="114300" distR="114300" simplePos="0" relativeHeight="251658240" behindDoc="0" locked="0" layoutInCell="1" allowOverlap="1" wp14:anchorId="3B98B99D" wp14:editId="6D159D5D">
          <wp:simplePos x="725214" y="430924"/>
          <wp:positionH relativeFrom="margin">
            <wp:align>right</wp:align>
          </wp:positionH>
          <wp:positionV relativeFrom="paragraph">
            <wp:posOffset>0</wp:posOffset>
          </wp:positionV>
          <wp:extent cx="1951200" cy="367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cmyk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7B86"/>
    <w:multiLevelType w:val="hybridMultilevel"/>
    <w:tmpl w:val="3EE65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62B3"/>
    <w:multiLevelType w:val="hybridMultilevel"/>
    <w:tmpl w:val="AE2EAA7E"/>
    <w:lvl w:ilvl="0" w:tplc="1CC65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30A54"/>
    <w:multiLevelType w:val="hybridMultilevel"/>
    <w:tmpl w:val="AE2EAA7E"/>
    <w:lvl w:ilvl="0" w:tplc="1CC65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80929DA"/>
    <w:multiLevelType w:val="hybridMultilevel"/>
    <w:tmpl w:val="78142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EB42D1F0"/>
    <w:lvl w:ilvl="0" w:tplc="603EA90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65F82C84"/>
    <w:multiLevelType w:val="hybridMultilevel"/>
    <w:tmpl w:val="932431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01880"/>
    <w:multiLevelType w:val="hybridMultilevel"/>
    <w:tmpl w:val="4704CC5C"/>
    <w:lvl w:ilvl="0" w:tplc="C08897A0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CD"/>
    <w:rsid w:val="00003885"/>
    <w:rsid w:val="00013CF9"/>
    <w:rsid w:val="0005780E"/>
    <w:rsid w:val="00065CC6"/>
    <w:rsid w:val="000A71F7"/>
    <w:rsid w:val="000F09E4"/>
    <w:rsid w:val="000F16FD"/>
    <w:rsid w:val="000F1AEB"/>
    <w:rsid w:val="0010054D"/>
    <w:rsid w:val="00147CF0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91986"/>
    <w:rsid w:val="003A00B4"/>
    <w:rsid w:val="00402E7D"/>
    <w:rsid w:val="00417AA3"/>
    <w:rsid w:val="00433579"/>
    <w:rsid w:val="00440B32"/>
    <w:rsid w:val="0046078D"/>
    <w:rsid w:val="004A2ED8"/>
    <w:rsid w:val="004C72CF"/>
    <w:rsid w:val="004F5BDA"/>
    <w:rsid w:val="0051631E"/>
    <w:rsid w:val="00537A1F"/>
    <w:rsid w:val="00566029"/>
    <w:rsid w:val="005923CB"/>
    <w:rsid w:val="005B391B"/>
    <w:rsid w:val="005D3D78"/>
    <w:rsid w:val="005D4193"/>
    <w:rsid w:val="005E2EF0"/>
    <w:rsid w:val="005E6F97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E45DE"/>
    <w:rsid w:val="00813C37"/>
    <w:rsid w:val="008154B5"/>
    <w:rsid w:val="00823962"/>
    <w:rsid w:val="00852719"/>
    <w:rsid w:val="00856645"/>
    <w:rsid w:val="00860115"/>
    <w:rsid w:val="008622AF"/>
    <w:rsid w:val="0088783C"/>
    <w:rsid w:val="009370BC"/>
    <w:rsid w:val="009611CB"/>
    <w:rsid w:val="0098739B"/>
    <w:rsid w:val="009B5023"/>
    <w:rsid w:val="00A17661"/>
    <w:rsid w:val="00A24B2D"/>
    <w:rsid w:val="00A40966"/>
    <w:rsid w:val="00A921E0"/>
    <w:rsid w:val="00AC692F"/>
    <w:rsid w:val="00AD0600"/>
    <w:rsid w:val="00AF051B"/>
    <w:rsid w:val="00B042EC"/>
    <w:rsid w:val="00B04EC2"/>
    <w:rsid w:val="00B0738F"/>
    <w:rsid w:val="00B261AF"/>
    <w:rsid w:val="00B26601"/>
    <w:rsid w:val="00B41951"/>
    <w:rsid w:val="00B53229"/>
    <w:rsid w:val="00B62480"/>
    <w:rsid w:val="00B81B70"/>
    <w:rsid w:val="00B87927"/>
    <w:rsid w:val="00BD0724"/>
    <w:rsid w:val="00BE5521"/>
    <w:rsid w:val="00C210C7"/>
    <w:rsid w:val="00C53263"/>
    <w:rsid w:val="00C75F1D"/>
    <w:rsid w:val="00CC4EF5"/>
    <w:rsid w:val="00D338E4"/>
    <w:rsid w:val="00D51947"/>
    <w:rsid w:val="00D532F0"/>
    <w:rsid w:val="00D77413"/>
    <w:rsid w:val="00D82759"/>
    <w:rsid w:val="00D86DE4"/>
    <w:rsid w:val="00D91E92"/>
    <w:rsid w:val="00DA6BEC"/>
    <w:rsid w:val="00DB5A3B"/>
    <w:rsid w:val="00E05DCD"/>
    <w:rsid w:val="00E23F1D"/>
    <w:rsid w:val="00E36361"/>
    <w:rsid w:val="00E55AE9"/>
    <w:rsid w:val="00E85604"/>
    <w:rsid w:val="00ED57CA"/>
    <w:rsid w:val="00F40D53"/>
    <w:rsid w:val="00F4525C"/>
    <w:rsid w:val="00F50D86"/>
    <w:rsid w:val="00FD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C27950"/>
  <w15:docId w15:val="{28504792-06DC-41D7-BB32-B0C2B1A4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qFormat/>
    <w:rsid w:val="00E05DC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AF051B"/>
    <w:pPr>
      <w:spacing w:before="120" w:after="120" w:line="280" w:lineRule="exact"/>
      <w:jc w:val="both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FD4C72"/>
    <w:pPr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D91E92"/>
    <w:pPr>
      <w:numPr>
        <w:numId w:val="3"/>
      </w:numPr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DB5A3B"/>
    <w:pPr>
      <w:spacing w:line="280" w:lineRule="exact"/>
    </w:pPr>
    <w:rPr>
      <w:color w:val="548DD4" w:themeColor="text2" w:themeTint="99"/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  <w:jc w:val="lef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FD4C72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065CC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E4FB5"/>
    <w:pPr>
      <w:jc w:val="center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character" w:customStyle="1" w:styleId="Heading1Char">
    <w:name w:val="Heading 1 Char"/>
    <w:basedOn w:val="DefaultParagraphFont"/>
    <w:link w:val="Heading1"/>
    <w:rsid w:val="00E05DCD"/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  <w:lang w:val="en-AU" w:eastAsia="zh-CN"/>
    </w:rPr>
  </w:style>
  <w:style w:type="paragraph" w:styleId="ListParagraph">
    <w:name w:val="List Paragraph"/>
    <w:basedOn w:val="Normal"/>
    <w:uiPriority w:val="34"/>
    <w:qFormat/>
    <w:rsid w:val="00E05DC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E05DCD"/>
    <w:pPr>
      <w:spacing w:line="240" w:lineRule="auto"/>
    </w:pPr>
    <w:rPr>
      <w:rFonts w:ascii="Cambria" w:eastAsia="MS Gothic" w:hAnsi="Cambria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DCD"/>
    <w:rPr>
      <w:rFonts w:ascii="Cambria" w:eastAsia="MS Gothic" w:hAnsi="Cambria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ate.org.au/index.php/implementation-briefing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23B9-8C10-4317-A388-B8E08A78E64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60F00F-727E-4DD0-BE71-910B67115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21352-148E-4ACB-8342-F845E70C0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0921C4-5C8D-494C-A5D2-204444BD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English/English as an Additional Language Units 1 and 2: 2016–2022, Units 3 and 4: 2017–2022Frequently asked questions</vt:lpstr>
    </vt:vector>
  </TitlesOfParts>
  <Company>Victorian Curriculum and Assessment Authority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English/English as an Additional Language Units 1 and 2: 2016–2022, Units 3 and 4: 2017–2022Frequently asked questions</dc:title>
  <dc:creator>Harrison, Victoria V</dc:creator>
  <cp:keywords>VCE, Dance, Units 3 and 4, prescribed list, dance works</cp:keywords>
  <cp:lastModifiedBy>Julie Coleman</cp:lastModifiedBy>
  <cp:revision>2</cp:revision>
  <cp:lastPrinted>2014-06-13T04:51:00Z</cp:lastPrinted>
  <dcterms:created xsi:type="dcterms:W3CDTF">2021-11-30T03:44:00Z</dcterms:created>
  <dcterms:modified xsi:type="dcterms:W3CDTF">2021-11-30T03:44:00Z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3;#VCAA|ae0180aa-7478-4220-a827-32d8158f8b8e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2;#Page|eb523acf-a821-456c-a76b-7607578309d7</vt:lpwstr>
  </property>
  <property fmtid="{D5CDD505-2E9C-101B-9397-08002B2CF9AE}" pid="6" name="DEECD_Audience">
    <vt:lpwstr/>
  </property>
  <property fmtid="{D5CDD505-2E9C-101B-9397-08002B2CF9AE}" pid="7" name="Order">
    <vt:r8>2808300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pfad5814e62747ed9f131defefc62dac">
    <vt:lpwstr/>
  </property>
  <property fmtid="{D5CDD505-2E9C-101B-9397-08002B2CF9AE}" pid="14" name="a319977fc8504e09982f090ae1d7c602">
    <vt:lpwstr>Page|eb523acf-a821-456c-a76b-7607578309d7</vt:lpwstr>
  </property>
  <property fmtid="{D5CDD505-2E9C-101B-9397-08002B2CF9AE}" pid="15" name="b1688cb4a3a940449dc8286705012a42">
    <vt:lpwstr/>
  </property>
  <property fmtid="{D5CDD505-2E9C-101B-9397-08002B2CF9AE}" pid="16" name="TaxCatchAll">
    <vt:lpwstr>2;#Page|eb523acf-a821-456c-a76b-7607578309d7;#3;#VCAA|ae0180aa-7478-4220-a827-32d8158f8b8e</vt:lpwstr>
  </property>
  <property fmtid="{D5CDD505-2E9C-101B-9397-08002B2CF9AE}" pid="17" name="ofbb8b9a280a423a91cf717fb81349cd">
    <vt:lpwstr>VCAA|ae0180aa-7478-4220-a827-32d8158f8b8e</vt:lpwstr>
  </property>
</Properties>
</file>