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F18D" w14:textId="353F1DDC" w:rsidR="0036345E" w:rsidRPr="00B42526" w:rsidRDefault="0036345E" w:rsidP="0036345E">
      <w:pPr>
        <w:pStyle w:val="VCAAHeading1"/>
        <w:spacing w:before="0" w:after="0"/>
        <w:rPr>
          <w:sz w:val="16"/>
          <w:szCs w:val="16"/>
        </w:rPr>
      </w:pPr>
      <w:bookmarkStart w:id="0" w:name="_GoBack"/>
      <w:r w:rsidRPr="00B42526">
        <w:rPr>
          <w:sz w:val="40"/>
        </w:rPr>
        <w:t>VCE English</w:t>
      </w:r>
      <w:r w:rsidR="00B42526">
        <w:rPr>
          <w:sz w:val="40"/>
        </w:rPr>
        <w:t xml:space="preserve"> Language</w:t>
      </w:r>
      <w:r w:rsidR="000E2E2D" w:rsidRPr="00B42526">
        <w:rPr>
          <w:sz w:val="40"/>
        </w:rPr>
        <w:t xml:space="preserve"> </w:t>
      </w:r>
      <w:r w:rsidR="005303B1">
        <w:rPr>
          <w:sz w:val="40"/>
          <w:highlight w:val="yellow"/>
        </w:rPr>
        <w:t>for use in 2</w:t>
      </w:r>
      <w:r w:rsidR="00B42526" w:rsidRPr="00B42526">
        <w:rPr>
          <w:sz w:val="40"/>
          <w:highlight w:val="yellow"/>
        </w:rPr>
        <w:t>020 ONLY</w:t>
      </w:r>
    </w:p>
    <w:bookmarkEnd w:id="0"/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518"/>
        <w:gridCol w:w="52"/>
        <w:gridCol w:w="2527"/>
        <w:gridCol w:w="2580"/>
        <w:gridCol w:w="2580"/>
        <w:gridCol w:w="2580"/>
        <w:gridCol w:w="2580"/>
      </w:tblGrid>
      <w:tr w:rsidR="00DF04F5" w14:paraId="6F7DD0D0" w14:textId="77777777" w:rsidTr="0036345E">
        <w:tc>
          <w:tcPr>
            <w:tcW w:w="1541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E2DD629" w14:textId="77777777" w:rsidR="00DF04F5" w:rsidRDefault="00DF04F5" w:rsidP="0036345E">
            <w:pPr>
              <w:tabs>
                <w:tab w:val="left" w:pos="9580"/>
              </w:tabs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</w:p>
        </w:tc>
      </w:tr>
      <w:tr w:rsidR="004961BF" w14:paraId="1239289B" w14:textId="77777777" w:rsidTr="004961BF">
        <w:tc>
          <w:tcPr>
            <w:tcW w:w="15417" w:type="dxa"/>
            <w:gridSpan w:val="7"/>
            <w:shd w:val="clear" w:color="auto" w:fill="0F7EB4"/>
          </w:tcPr>
          <w:p w14:paraId="52F1ED8D" w14:textId="5ACB9DAF" w:rsidR="004961BF" w:rsidRPr="006B6A95" w:rsidRDefault="004961BF" w:rsidP="004961B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 xml:space="preserve">VCE </w:t>
            </w:r>
            <w:r w:rsidRPr="00103027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EN</w:t>
            </w: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 xml:space="preserve">GLISH </w:t>
            </w:r>
            <w:r w:rsidR="000E2E2D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LANGUAGE</w:t>
            </w:r>
          </w:p>
          <w:p w14:paraId="26331F01" w14:textId="77777777" w:rsidR="004961BF" w:rsidRDefault="004961BF" w:rsidP="004961BF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4961BF" w14:paraId="278EDD85" w14:textId="77777777" w:rsidTr="00DF04F5">
        <w:tc>
          <w:tcPr>
            <w:tcW w:w="15417" w:type="dxa"/>
            <w:gridSpan w:val="7"/>
            <w:tcBorders>
              <w:bottom w:val="single" w:sz="4" w:space="0" w:color="auto"/>
            </w:tcBorders>
          </w:tcPr>
          <w:p w14:paraId="35D78179" w14:textId="77777777" w:rsidR="004961BF" w:rsidRDefault="004961BF" w:rsidP="004961B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4961BF" w:rsidRPr="006770E6" w14:paraId="4542945C" w14:textId="77777777" w:rsidTr="00DF04F5">
        <w:tc>
          <w:tcPr>
            <w:tcW w:w="2570" w:type="dxa"/>
            <w:gridSpan w:val="2"/>
            <w:tcBorders>
              <w:left w:val="nil"/>
              <w:right w:val="nil"/>
            </w:tcBorders>
          </w:tcPr>
          <w:p w14:paraId="2ED4F3A3" w14:textId="77777777" w:rsidR="004961BF" w:rsidRPr="006770E6" w:rsidRDefault="004961BF" w:rsidP="004961BF">
            <w:pPr>
              <w:rPr>
                <w:sz w:val="12"/>
                <w:szCs w:val="12"/>
              </w:rPr>
            </w:pPr>
          </w:p>
        </w:tc>
        <w:tc>
          <w:tcPr>
            <w:tcW w:w="12847" w:type="dxa"/>
            <w:gridSpan w:val="5"/>
            <w:tcBorders>
              <w:left w:val="nil"/>
              <w:right w:val="nil"/>
            </w:tcBorders>
          </w:tcPr>
          <w:p w14:paraId="3A937028" w14:textId="77777777" w:rsidR="004961BF" w:rsidRPr="006770E6" w:rsidRDefault="004961BF" w:rsidP="004961BF">
            <w:pPr>
              <w:rPr>
                <w:sz w:val="12"/>
                <w:szCs w:val="12"/>
              </w:rPr>
            </w:pPr>
          </w:p>
        </w:tc>
      </w:tr>
      <w:tr w:rsidR="007A7310" w14:paraId="6795C9FB" w14:textId="77777777" w:rsidTr="00DF04F5">
        <w:tc>
          <w:tcPr>
            <w:tcW w:w="2518" w:type="dxa"/>
            <w:vMerge w:val="restart"/>
            <w:vAlign w:val="center"/>
          </w:tcPr>
          <w:p w14:paraId="2642617E" w14:textId="77777777" w:rsidR="007A7310" w:rsidRPr="0052614A" w:rsidRDefault="007A7310" w:rsidP="004961BF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14:paraId="5BA2F0F8" w14:textId="0E0C5C77" w:rsidR="007A7310" w:rsidRPr="0052614A" w:rsidRDefault="007A7310" w:rsidP="004961BF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1A6E5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14:paraId="15033DE7" w14:textId="5CC794FC" w:rsidR="007A7310" w:rsidRPr="000E2E2D" w:rsidRDefault="000E2E2D" w:rsidP="004961BF">
            <w:pPr>
              <w:spacing w:after="120"/>
              <w:rPr>
                <w:rFonts w:ascii="Arial Narrow" w:hAnsi="Arial Narrow"/>
                <w:i/>
              </w:rPr>
            </w:pPr>
            <w:r w:rsidRPr="000E2E2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Investigate and </w:t>
            </w:r>
            <w:proofErr w:type="spellStart"/>
            <w:r w:rsidRPr="000E2E2D">
              <w:rPr>
                <w:rFonts w:ascii="Arial Narrow" w:hAnsi="Arial Narrow"/>
                <w:b/>
                <w:i/>
                <w:sz w:val="18"/>
                <w:szCs w:val="18"/>
              </w:rPr>
              <w:t>analyse</w:t>
            </w:r>
            <w:proofErr w:type="spellEnd"/>
            <w:r w:rsidRPr="000E2E2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varieties of Australian English and attitudes towards them.</w:t>
            </w:r>
          </w:p>
        </w:tc>
        <w:tc>
          <w:tcPr>
            <w:tcW w:w="12899" w:type="dxa"/>
            <w:gridSpan w:val="6"/>
          </w:tcPr>
          <w:p w14:paraId="386A784C" w14:textId="77777777" w:rsidR="007A7310" w:rsidRPr="00EB20E2" w:rsidRDefault="007A7310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7A7310" w14:paraId="11D4B2AF" w14:textId="77777777" w:rsidTr="00230D31">
        <w:tc>
          <w:tcPr>
            <w:tcW w:w="2518" w:type="dxa"/>
            <w:vMerge/>
            <w:vAlign w:val="center"/>
          </w:tcPr>
          <w:p w14:paraId="7872A23C" w14:textId="77777777" w:rsidR="007A7310" w:rsidRDefault="007A7310" w:rsidP="004961BF">
            <w:pPr>
              <w:spacing w:after="120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14:paraId="44094FD3" w14:textId="77777777" w:rsidR="007A7310" w:rsidRPr="0052614A" w:rsidRDefault="007A7310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4481F21" w14:textId="77777777" w:rsidR="007A7310" w:rsidRPr="0052614A" w:rsidRDefault="007A7310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4DDF07C9" w14:textId="77777777" w:rsidR="007A7310" w:rsidRPr="0052614A" w:rsidRDefault="007A7310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03A78D9" w14:textId="77777777" w:rsidR="007A7310" w:rsidRPr="0052614A" w:rsidRDefault="007A7310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5E3AD39A" w14:textId="77777777" w:rsidR="007A7310" w:rsidRPr="0052614A" w:rsidRDefault="007A7310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A7310" w14:paraId="57B2C967" w14:textId="77777777" w:rsidTr="00230D31">
        <w:tc>
          <w:tcPr>
            <w:tcW w:w="2518" w:type="dxa"/>
            <w:vMerge/>
            <w:shd w:val="clear" w:color="auto" w:fill="auto"/>
            <w:vAlign w:val="center"/>
          </w:tcPr>
          <w:p w14:paraId="27D7AF7A" w14:textId="77777777" w:rsidR="007A7310" w:rsidRDefault="007A7310" w:rsidP="007A7310"/>
        </w:tc>
        <w:tc>
          <w:tcPr>
            <w:tcW w:w="2579" w:type="dxa"/>
            <w:gridSpan w:val="2"/>
            <w:tcBorders>
              <w:bottom w:val="single" w:sz="2" w:space="0" w:color="auto"/>
            </w:tcBorders>
          </w:tcPr>
          <w:p w14:paraId="29FC9770" w14:textId="3FBCBF58" w:rsidR="007A7310" w:rsidRPr="00D55BFC" w:rsidRDefault="007A7310" w:rsidP="007A731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Limited understanding of the role of Standard and non-Standard English in Australian society. </w:t>
            </w:r>
          </w:p>
        </w:tc>
        <w:tc>
          <w:tcPr>
            <w:tcW w:w="2580" w:type="dxa"/>
            <w:tcBorders>
              <w:bottom w:val="single" w:sz="2" w:space="0" w:color="auto"/>
            </w:tcBorders>
            <w:shd w:val="clear" w:color="auto" w:fill="auto"/>
          </w:tcPr>
          <w:p w14:paraId="5A4A78F4" w14:textId="382E9BB9" w:rsidR="007A7310" w:rsidRPr="00D55BFC" w:rsidRDefault="007A7310" w:rsidP="007A731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Some explanation of the role of Standard and non-Standard English in Australian society. </w:t>
            </w:r>
          </w:p>
        </w:tc>
        <w:tc>
          <w:tcPr>
            <w:tcW w:w="2580" w:type="dxa"/>
            <w:tcBorders>
              <w:bottom w:val="single" w:sz="2" w:space="0" w:color="auto"/>
            </w:tcBorders>
            <w:shd w:val="clear" w:color="auto" w:fill="auto"/>
          </w:tcPr>
          <w:p w14:paraId="760F1D9A" w14:textId="274327F1" w:rsidR="007A7310" w:rsidRPr="00D55BFC" w:rsidRDefault="007A7310" w:rsidP="007A731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Clear explanation of the role of Standard and non-Standard English in Australian society. </w:t>
            </w:r>
          </w:p>
        </w:tc>
        <w:tc>
          <w:tcPr>
            <w:tcW w:w="2580" w:type="dxa"/>
            <w:tcBorders>
              <w:bottom w:val="single" w:sz="2" w:space="0" w:color="auto"/>
            </w:tcBorders>
            <w:shd w:val="clear" w:color="auto" w:fill="auto"/>
          </w:tcPr>
          <w:p w14:paraId="3CEF8B8A" w14:textId="3C7F5CC4" w:rsidR="007A7310" w:rsidRPr="00D55BFC" w:rsidRDefault="007A7310" w:rsidP="007A731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Detailed discussion of the role of Standard and non-Standard English in Australian society. </w:t>
            </w:r>
          </w:p>
        </w:tc>
        <w:tc>
          <w:tcPr>
            <w:tcW w:w="2580" w:type="dxa"/>
            <w:tcBorders>
              <w:bottom w:val="single" w:sz="2" w:space="0" w:color="auto"/>
            </w:tcBorders>
            <w:shd w:val="clear" w:color="auto" w:fill="auto"/>
          </w:tcPr>
          <w:p w14:paraId="4CC90ADE" w14:textId="67B834D3" w:rsidR="007A7310" w:rsidRPr="00D55BFC" w:rsidRDefault="007A7310" w:rsidP="007A731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Complex and insightful discussion of the role of Standard and non-Standard English in Australian society. </w:t>
            </w:r>
          </w:p>
        </w:tc>
      </w:tr>
      <w:tr w:rsidR="001A6E53" w14:paraId="4CE5832C" w14:textId="77777777" w:rsidTr="00230D31">
        <w:tc>
          <w:tcPr>
            <w:tcW w:w="2518" w:type="dxa"/>
            <w:vMerge/>
          </w:tcPr>
          <w:p w14:paraId="00E55DB2" w14:textId="77777777" w:rsidR="001A6E53" w:rsidRDefault="001A6E53" w:rsidP="001A6E53"/>
        </w:tc>
        <w:tc>
          <w:tcPr>
            <w:tcW w:w="2579" w:type="dxa"/>
            <w:gridSpan w:val="2"/>
            <w:tcBorders>
              <w:top w:val="single" w:sz="2" w:space="0" w:color="auto"/>
            </w:tcBorders>
          </w:tcPr>
          <w:p w14:paraId="3E8CEE2C" w14:textId="05ADB579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Limited identification of the distinctive features of Australian English. 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3F99E846" w14:textId="496B810E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Some identification of the distinctive features of Australian English. 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0E709A8D" w14:textId="69B6CE33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Sound understanding of the distinctive features of Australian English. 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10E5D3E4" w14:textId="27BE4AB7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Thorough understanding of the distinctive features of Australian English. 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5BFE7BF0" w14:textId="57378558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Comprehensive understanding of the distinctive features of Australian English. </w:t>
            </w:r>
          </w:p>
        </w:tc>
      </w:tr>
      <w:tr w:rsidR="001A6E53" w14:paraId="4ACAB0A0" w14:textId="77777777" w:rsidTr="00647DF4">
        <w:tc>
          <w:tcPr>
            <w:tcW w:w="2518" w:type="dxa"/>
            <w:vMerge/>
          </w:tcPr>
          <w:p w14:paraId="1BE618C9" w14:textId="77777777" w:rsidR="001A6E53" w:rsidRDefault="001A6E53" w:rsidP="001A6E53"/>
        </w:tc>
        <w:tc>
          <w:tcPr>
            <w:tcW w:w="2579" w:type="dxa"/>
            <w:gridSpan w:val="2"/>
          </w:tcPr>
          <w:p w14:paraId="06F85C42" w14:textId="10F90768" w:rsidR="001A6E53" w:rsidRPr="00D55BFC" w:rsidRDefault="001A6E53" w:rsidP="001A6E5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Very limited discussion of the geographical and cultural influences on variation in Australian English. </w:t>
            </w:r>
          </w:p>
        </w:tc>
        <w:tc>
          <w:tcPr>
            <w:tcW w:w="2580" w:type="dxa"/>
          </w:tcPr>
          <w:p w14:paraId="00F7FAEA" w14:textId="105D1D33" w:rsidR="001A6E53" w:rsidRPr="00D55BFC" w:rsidRDefault="001A6E53" w:rsidP="001A6E5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Some discussion of the geographical and cultural influences on variation in Australian English. </w:t>
            </w:r>
          </w:p>
        </w:tc>
        <w:tc>
          <w:tcPr>
            <w:tcW w:w="2580" w:type="dxa"/>
          </w:tcPr>
          <w:p w14:paraId="4461998E" w14:textId="3310DD80" w:rsidR="001A6E53" w:rsidRPr="00D55BFC" w:rsidRDefault="001A6E53" w:rsidP="001A6E5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Satisfactory discussion of the geographical and cultural influences on variation in Australian English. </w:t>
            </w:r>
          </w:p>
        </w:tc>
        <w:tc>
          <w:tcPr>
            <w:tcW w:w="2580" w:type="dxa"/>
          </w:tcPr>
          <w:p w14:paraId="6F4CBF6A" w14:textId="22176D86" w:rsidR="001A6E53" w:rsidRPr="00D55BFC" w:rsidRDefault="001A6E53" w:rsidP="001A6E5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Complex discussion of the geographical and cultural influences on variation in Australian English. </w:t>
            </w:r>
          </w:p>
        </w:tc>
        <w:tc>
          <w:tcPr>
            <w:tcW w:w="2580" w:type="dxa"/>
          </w:tcPr>
          <w:p w14:paraId="6E584136" w14:textId="3BDB8FE7" w:rsidR="001A6E53" w:rsidRPr="00D55BFC" w:rsidRDefault="001A6E53" w:rsidP="001A6E5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Sophisticated discussion of geographical and cultural influences on variation in Australian English. </w:t>
            </w:r>
          </w:p>
        </w:tc>
      </w:tr>
      <w:tr w:rsidR="001A6E53" w14:paraId="45498D09" w14:textId="77777777" w:rsidTr="00647DF4">
        <w:tc>
          <w:tcPr>
            <w:tcW w:w="2518" w:type="dxa"/>
            <w:vMerge/>
          </w:tcPr>
          <w:p w14:paraId="5CE6B547" w14:textId="77777777" w:rsidR="001A6E53" w:rsidRDefault="001A6E53" w:rsidP="001A6E53"/>
        </w:tc>
        <w:tc>
          <w:tcPr>
            <w:tcW w:w="2579" w:type="dxa"/>
            <w:gridSpan w:val="2"/>
          </w:tcPr>
          <w:p w14:paraId="4011B23D" w14:textId="1EA0266D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Little understanding of how a sense of national identity may be constructed through language. </w:t>
            </w:r>
          </w:p>
        </w:tc>
        <w:tc>
          <w:tcPr>
            <w:tcW w:w="2580" w:type="dxa"/>
          </w:tcPr>
          <w:p w14:paraId="01EF9FB0" w14:textId="66BABA31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Some discussion of how a sense of national identity may be constructed through language. </w:t>
            </w:r>
          </w:p>
        </w:tc>
        <w:tc>
          <w:tcPr>
            <w:tcW w:w="2580" w:type="dxa"/>
          </w:tcPr>
          <w:p w14:paraId="60CDC806" w14:textId="3DC2E447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Relevant exploration of how a sense of national identity may be constructed through language. </w:t>
            </w:r>
          </w:p>
        </w:tc>
        <w:tc>
          <w:tcPr>
            <w:tcW w:w="2580" w:type="dxa"/>
          </w:tcPr>
          <w:p w14:paraId="517F8B03" w14:textId="6D914EA1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Careful exploration of how a sense of national identity may be constructed through language. </w:t>
            </w:r>
          </w:p>
        </w:tc>
        <w:tc>
          <w:tcPr>
            <w:tcW w:w="2580" w:type="dxa"/>
          </w:tcPr>
          <w:p w14:paraId="2504D419" w14:textId="79EDB799" w:rsidR="001A6E53" w:rsidRPr="001A6E53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1A6E53">
              <w:rPr>
                <w:strike/>
                <w:color w:val="FF0000"/>
                <w:sz w:val="18"/>
                <w:szCs w:val="18"/>
              </w:rPr>
              <w:t xml:space="preserve">Insightful exploration of how a sense of national identity may be constructed through the language in texts. </w:t>
            </w:r>
          </w:p>
        </w:tc>
      </w:tr>
      <w:tr w:rsidR="007A7310" w14:paraId="57900A6E" w14:textId="77777777" w:rsidTr="00647DF4">
        <w:tc>
          <w:tcPr>
            <w:tcW w:w="2518" w:type="dxa"/>
            <w:vMerge/>
          </w:tcPr>
          <w:p w14:paraId="050E9797" w14:textId="77777777" w:rsidR="007A7310" w:rsidRDefault="007A7310" w:rsidP="007A7310"/>
        </w:tc>
        <w:tc>
          <w:tcPr>
            <w:tcW w:w="2579" w:type="dxa"/>
            <w:gridSpan w:val="2"/>
          </w:tcPr>
          <w:p w14:paraId="1BDA2465" w14:textId="39B376EE" w:rsidR="007A7310" w:rsidRPr="008E534B" w:rsidRDefault="007A7310" w:rsidP="007A7310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Few references to attitudes that are shown towards varieties of </w:t>
            </w:r>
            <w:r w:rsidRPr="00B42526">
              <w:rPr>
                <w:color w:val="548DD4" w:themeColor="text2" w:themeTint="99"/>
                <w:sz w:val="18"/>
                <w:szCs w:val="18"/>
                <w:highlight w:val="yellow"/>
              </w:rPr>
              <w:t>Australian</w:t>
            </w:r>
            <w:r w:rsidRPr="00B42526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54442">
              <w:rPr>
                <w:sz w:val="18"/>
                <w:szCs w:val="18"/>
              </w:rPr>
              <w:t>English.</w:t>
            </w:r>
          </w:p>
        </w:tc>
        <w:tc>
          <w:tcPr>
            <w:tcW w:w="2580" w:type="dxa"/>
          </w:tcPr>
          <w:p w14:paraId="1AB2F46F" w14:textId="34E65EB4" w:rsidR="007A7310" w:rsidRPr="008E534B" w:rsidRDefault="007A7310" w:rsidP="007A7310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>Basic description of the range of attitudes that are shown towards varieties of</w:t>
            </w:r>
            <w:r>
              <w:rPr>
                <w:sz w:val="18"/>
                <w:szCs w:val="18"/>
              </w:rPr>
              <w:t xml:space="preserve"> </w:t>
            </w:r>
            <w:r w:rsidRPr="00B42526">
              <w:rPr>
                <w:color w:val="548DD4" w:themeColor="text2" w:themeTint="99"/>
                <w:sz w:val="18"/>
                <w:szCs w:val="18"/>
                <w:highlight w:val="yellow"/>
              </w:rPr>
              <w:t>Australian</w:t>
            </w:r>
            <w:r w:rsidRPr="00B42526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54442">
              <w:rPr>
                <w:sz w:val="18"/>
                <w:szCs w:val="18"/>
              </w:rPr>
              <w:t>English.</w:t>
            </w:r>
          </w:p>
        </w:tc>
        <w:tc>
          <w:tcPr>
            <w:tcW w:w="2580" w:type="dxa"/>
          </w:tcPr>
          <w:p w14:paraId="5E581393" w14:textId="04CBFBDB" w:rsidR="007A7310" w:rsidRPr="008E534B" w:rsidRDefault="007A7310" w:rsidP="007A7310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Appropriate analysis of the range of attitudes that are shown towards varieties of </w:t>
            </w:r>
            <w:r w:rsidRPr="00B42526">
              <w:rPr>
                <w:color w:val="548DD4" w:themeColor="text2" w:themeTint="99"/>
                <w:sz w:val="18"/>
                <w:szCs w:val="18"/>
                <w:highlight w:val="yellow"/>
              </w:rPr>
              <w:t>Australian</w:t>
            </w:r>
            <w:r w:rsidRPr="00B42526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54442">
              <w:rPr>
                <w:sz w:val="18"/>
                <w:szCs w:val="18"/>
              </w:rPr>
              <w:t>English.</w:t>
            </w:r>
          </w:p>
        </w:tc>
        <w:tc>
          <w:tcPr>
            <w:tcW w:w="2580" w:type="dxa"/>
          </w:tcPr>
          <w:p w14:paraId="73F3D2A7" w14:textId="2089B995" w:rsidR="007A7310" w:rsidRPr="008E534B" w:rsidRDefault="007A7310" w:rsidP="007A7310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Well-developed analysis of the range of attitudes that are shown towards varieties of </w:t>
            </w:r>
            <w:r w:rsidRPr="00B42526">
              <w:rPr>
                <w:color w:val="548DD4" w:themeColor="text2" w:themeTint="99"/>
                <w:sz w:val="18"/>
                <w:szCs w:val="18"/>
                <w:highlight w:val="yellow"/>
              </w:rPr>
              <w:t>Australian</w:t>
            </w:r>
            <w:r w:rsidRPr="00B42526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54442">
              <w:rPr>
                <w:sz w:val="18"/>
                <w:szCs w:val="18"/>
              </w:rPr>
              <w:t xml:space="preserve">English. </w:t>
            </w:r>
          </w:p>
        </w:tc>
        <w:tc>
          <w:tcPr>
            <w:tcW w:w="2580" w:type="dxa"/>
          </w:tcPr>
          <w:p w14:paraId="6BE55237" w14:textId="5EA1455F" w:rsidR="007A7310" w:rsidRPr="008E534B" w:rsidRDefault="007A7310" w:rsidP="007A7310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>Critical analysis of the range of attitudes that are shown towards varieties of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42526">
              <w:rPr>
                <w:color w:val="548DD4" w:themeColor="text2" w:themeTint="99"/>
                <w:sz w:val="18"/>
                <w:szCs w:val="18"/>
                <w:highlight w:val="yellow"/>
              </w:rPr>
              <w:t>Australian</w:t>
            </w:r>
            <w:r w:rsidRPr="00B42526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54442">
              <w:rPr>
                <w:sz w:val="18"/>
                <w:szCs w:val="18"/>
              </w:rPr>
              <w:t xml:space="preserve">English. </w:t>
            </w:r>
          </w:p>
        </w:tc>
      </w:tr>
      <w:tr w:rsidR="001A6E53" w14:paraId="0E3B6D3E" w14:textId="77777777" w:rsidTr="00647DF4">
        <w:tc>
          <w:tcPr>
            <w:tcW w:w="2518" w:type="dxa"/>
            <w:vMerge/>
          </w:tcPr>
          <w:p w14:paraId="60B25E1B" w14:textId="77777777" w:rsidR="001A6E53" w:rsidRDefault="001A6E53" w:rsidP="001A6E53"/>
        </w:tc>
        <w:tc>
          <w:tcPr>
            <w:tcW w:w="2579" w:type="dxa"/>
            <w:gridSpan w:val="2"/>
          </w:tcPr>
          <w:p w14:paraId="35D12CD7" w14:textId="1F73219C" w:rsidR="001A6E53" w:rsidRPr="008E534B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Limited use of metalanguage. </w:t>
            </w:r>
          </w:p>
        </w:tc>
        <w:tc>
          <w:tcPr>
            <w:tcW w:w="2580" w:type="dxa"/>
          </w:tcPr>
          <w:p w14:paraId="34B217B0" w14:textId="26E3F70F" w:rsidR="001A6E53" w:rsidRPr="008E534B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Some knowledge of metalanguage terms with some understanding of when to use them. </w:t>
            </w:r>
          </w:p>
        </w:tc>
        <w:tc>
          <w:tcPr>
            <w:tcW w:w="2580" w:type="dxa"/>
          </w:tcPr>
          <w:p w14:paraId="2F437DC6" w14:textId="48915B5F" w:rsidR="001A6E53" w:rsidRPr="008E534B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Mostly appropriate use of metalanguage. </w:t>
            </w:r>
          </w:p>
        </w:tc>
        <w:tc>
          <w:tcPr>
            <w:tcW w:w="2580" w:type="dxa"/>
          </w:tcPr>
          <w:p w14:paraId="4B3CEFAB" w14:textId="27CCC7A5" w:rsidR="001A6E53" w:rsidRPr="008E534B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 xml:space="preserve">Accurate and appropriate use of metalanguage to support the response. </w:t>
            </w:r>
          </w:p>
        </w:tc>
        <w:tc>
          <w:tcPr>
            <w:tcW w:w="2580" w:type="dxa"/>
          </w:tcPr>
          <w:p w14:paraId="7BC34BAF" w14:textId="728D3961" w:rsidR="001A6E53" w:rsidRPr="008E534B" w:rsidRDefault="001A6E53" w:rsidP="001A6E53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C54442">
              <w:rPr>
                <w:sz w:val="18"/>
                <w:szCs w:val="18"/>
              </w:rPr>
              <w:t>Proficient and appropriate use of metalanguage to support the response.</w:t>
            </w:r>
          </w:p>
        </w:tc>
      </w:tr>
    </w:tbl>
    <w:p w14:paraId="31B476D3" w14:textId="3E842D1F" w:rsidR="004961BF" w:rsidRDefault="004961BF" w:rsidP="001A6E53">
      <w:pPr>
        <w:spacing w:after="0" w:line="240" w:lineRule="auto"/>
        <w:rPr>
          <w:sz w:val="18"/>
          <w:szCs w:val="18"/>
        </w:rPr>
      </w:pPr>
    </w:p>
    <w:p w14:paraId="1F7E83AA" w14:textId="77777777" w:rsidR="001A6E53" w:rsidRPr="007C3D7A" w:rsidRDefault="001A6E53" w:rsidP="001A6E53">
      <w:pPr>
        <w:pStyle w:val="VCAAtablecondensed"/>
        <w:spacing w:before="0" w:after="120" w:line="240" w:lineRule="auto"/>
      </w:pPr>
      <w:r w:rsidRPr="007C3D7A">
        <w:t xml:space="preserve">KEY to marking scale based on the Outcome contributing </w:t>
      </w:r>
      <w:r w:rsidRPr="001A6E53">
        <w:rPr>
          <w:strike/>
          <w:color w:val="FF0000"/>
        </w:rPr>
        <w:t>50</w:t>
      </w:r>
      <w:r w:rsidRPr="007C3D7A">
        <w:t xml:space="preserve"> </w:t>
      </w:r>
      <w:r w:rsidRPr="001A6E53">
        <w:rPr>
          <w:color w:val="0099E3" w:themeColor="accent1"/>
          <w:highlight w:val="yellow"/>
        </w:rPr>
        <w:t>30</w:t>
      </w:r>
      <w:r>
        <w:rPr>
          <w:color w:val="FF0000"/>
        </w:rPr>
        <w:t xml:space="preserve"> </w:t>
      </w:r>
      <w:r w:rsidRPr="007C3D7A">
        <w:t>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4961BF" w:rsidRPr="007D0AF8" w14:paraId="596BAD11" w14:textId="77777777" w:rsidTr="00DF04F5">
        <w:trPr>
          <w:trHeight w:val="170"/>
        </w:trPr>
        <w:tc>
          <w:tcPr>
            <w:tcW w:w="2318" w:type="dxa"/>
            <w:vAlign w:val="center"/>
          </w:tcPr>
          <w:p w14:paraId="733F4D59" w14:textId="3237A405" w:rsidR="004961BF" w:rsidRPr="007D0AF8" w:rsidRDefault="004961BF" w:rsidP="00DF04F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</w:t>
            </w:r>
            <w:r w:rsidR="001A6E53" w:rsidRPr="00603B2A">
              <w:rPr>
                <w:strike/>
                <w:color w:val="FF0000"/>
                <w:sz w:val="20"/>
                <w:szCs w:val="20"/>
              </w:rPr>
              <w:t>10</w:t>
            </w:r>
            <w:r w:rsidR="001A6E53" w:rsidRPr="00603B2A">
              <w:rPr>
                <w:color w:val="FF0000"/>
                <w:sz w:val="20"/>
                <w:szCs w:val="20"/>
              </w:rPr>
              <w:t xml:space="preserve"> </w:t>
            </w:r>
            <w:r w:rsidR="001A6E53" w:rsidRPr="00603B2A">
              <w:rPr>
                <w:color w:val="0099E3" w:themeColor="accent1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318" w:type="dxa"/>
            <w:vAlign w:val="center"/>
          </w:tcPr>
          <w:p w14:paraId="5E874139" w14:textId="65E1592F" w:rsidR="004961BF" w:rsidRPr="007D0AF8" w:rsidRDefault="004961BF" w:rsidP="00DF04F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 w:rsidR="001A6E53" w:rsidRPr="00603B2A">
              <w:rPr>
                <w:strike/>
                <w:color w:val="FF0000"/>
                <w:sz w:val="20"/>
                <w:szCs w:val="20"/>
              </w:rPr>
              <w:t>11–</w:t>
            </w:r>
            <w:r w:rsidR="001A6E53" w:rsidRPr="00603B2A">
              <w:rPr>
                <w:color w:val="FF0000"/>
                <w:sz w:val="20"/>
                <w:szCs w:val="20"/>
              </w:rPr>
              <w:t xml:space="preserve">20 </w:t>
            </w:r>
            <w:r w:rsidR="001A6E53" w:rsidRPr="00603B2A">
              <w:rPr>
                <w:color w:val="0099E3" w:themeColor="accent1"/>
                <w:sz w:val="20"/>
                <w:szCs w:val="20"/>
                <w:highlight w:val="yellow"/>
              </w:rPr>
              <w:t>7</w:t>
            </w:r>
            <w:r w:rsidR="001A6E53" w:rsidRPr="001A6E53">
              <w:rPr>
                <w:color w:val="0099E3" w:themeColor="accent1"/>
                <w:sz w:val="18"/>
                <w:szCs w:val="18"/>
                <w:highlight w:val="yellow"/>
              </w:rPr>
              <w:t>–</w:t>
            </w:r>
            <w:r w:rsidR="001A6E53" w:rsidRPr="00603B2A">
              <w:rPr>
                <w:color w:val="0099E3" w:themeColor="accent1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2318" w:type="dxa"/>
            <w:vAlign w:val="center"/>
          </w:tcPr>
          <w:p w14:paraId="05DE0526" w14:textId="2F7D91CD" w:rsidR="004961BF" w:rsidRPr="007D0AF8" w:rsidRDefault="004961BF" w:rsidP="00DF04F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 w:rsidR="001A6E53" w:rsidRPr="001A6E53">
              <w:rPr>
                <w:strike/>
                <w:color w:val="FF0000"/>
                <w:sz w:val="20"/>
                <w:szCs w:val="20"/>
              </w:rPr>
              <w:t>21–30</w:t>
            </w:r>
            <w:r w:rsidR="001A6E53">
              <w:rPr>
                <w:sz w:val="20"/>
                <w:szCs w:val="20"/>
              </w:rPr>
              <w:t xml:space="preserve"> </w:t>
            </w:r>
            <w:r w:rsidR="001A6E53" w:rsidRPr="00603B2A">
              <w:rPr>
                <w:color w:val="0099E3" w:themeColor="accent1"/>
                <w:sz w:val="20"/>
                <w:szCs w:val="20"/>
                <w:highlight w:val="yellow"/>
              </w:rPr>
              <w:t>13</w:t>
            </w:r>
            <w:r w:rsidR="001A6E53" w:rsidRPr="001A6E53">
              <w:rPr>
                <w:color w:val="0099E3" w:themeColor="accent1"/>
                <w:sz w:val="18"/>
                <w:szCs w:val="18"/>
                <w:highlight w:val="yellow"/>
              </w:rPr>
              <w:t>–</w:t>
            </w:r>
            <w:r w:rsidR="001A6E53" w:rsidRPr="00603B2A">
              <w:rPr>
                <w:color w:val="0099E3" w:themeColor="accent1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318" w:type="dxa"/>
            <w:vAlign w:val="center"/>
          </w:tcPr>
          <w:p w14:paraId="31782353" w14:textId="355664C5" w:rsidR="004961BF" w:rsidRPr="007D0AF8" w:rsidRDefault="004961BF" w:rsidP="00DF04F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 w:rsidR="001A6E53" w:rsidRPr="00603B2A">
              <w:rPr>
                <w:strike/>
                <w:color w:val="FF0000"/>
                <w:sz w:val="20"/>
                <w:szCs w:val="20"/>
              </w:rPr>
              <w:t>31–40</w:t>
            </w:r>
            <w:r w:rsidR="001A6E53" w:rsidRPr="00EA40C4">
              <w:rPr>
                <w:color w:val="0099E3" w:themeColor="accent1"/>
                <w:sz w:val="20"/>
                <w:szCs w:val="20"/>
              </w:rPr>
              <w:t xml:space="preserve"> </w:t>
            </w:r>
            <w:r w:rsidR="001A6E53" w:rsidRPr="00603B2A">
              <w:rPr>
                <w:color w:val="0099E3" w:themeColor="accent1"/>
                <w:sz w:val="20"/>
                <w:szCs w:val="20"/>
                <w:highlight w:val="yellow"/>
              </w:rPr>
              <w:t>19</w:t>
            </w:r>
            <w:r w:rsidR="001A6E53" w:rsidRPr="001A6E53">
              <w:rPr>
                <w:color w:val="0099E3" w:themeColor="accent1"/>
                <w:sz w:val="18"/>
                <w:szCs w:val="18"/>
                <w:highlight w:val="yellow"/>
              </w:rPr>
              <w:t>–</w:t>
            </w:r>
            <w:r w:rsidR="001A6E53" w:rsidRPr="00603B2A">
              <w:rPr>
                <w:color w:val="0099E3" w:themeColor="accent1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318" w:type="dxa"/>
            <w:vAlign w:val="center"/>
          </w:tcPr>
          <w:p w14:paraId="68EFFA8C" w14:textId="17B88242" w:rsidR="004961BF" w:rsidRPr="007D0AF8" w:rsidRDefault="004961BF" w:rsidP="00DF04F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 w:rsidR="001A6E53" w:rsidRPr="00603B2A">
              <w:rPr>
                <w:strike/>
                <w:color w:val="FF0000"/>
                <w:sz w:val="20"/>
                <w:szCs w:val="20"/>
              </w:rPr>
              <w:t>41–50</w:t>
            </w:r>
            <w:r w:rsidR="001A6E53" w:rsidRPr="001A6E53">
              <w:rPr>
                <w:sz w:val="20"/>
                <w:szCs w:val="20"/>
              </w:rPr>
              <w:t xml:space="preserve"> </w:t>
            </w:r>
            <w:r w:rsidR="001A6E53" w:rsidRPr="00603B2A">
              <w:rPr>
                <w:color w:val="0099E3" w:themeColor="accent1"/>
                <w:sz w:val="20"/>
                <w:szCs w:val="20"/>
                <w:highlight w:val="yellow"/>
              </w:rPr>
              <w:t>25-30</w:t>
            </w:r>
          </w:p>
        </w:tc>
      </w:tr>
    </w:tbl>
    <w:p w14:paraId="12DB47B6" w14:textId="77777777" w:rsidR="004961BF" w:rsidRDefault="004961BF" w:rsidP="004961BF"/>
    <w:sectPr w:rsidR="004961BF" w:rsidSect="00B4252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851" w:bottom="624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E2E2D" w:rsidRDefault="000E2E2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E2E2D" w:rsidRDefault="000E2E2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047"/>
      <w:gridCol w:w="5047"/>
      <w:gridCol w:w="5044"/>
    </w:tblGrid>
    <w:tr w:rsidR="000E2E2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0E2E2D" w:rsidRPr="00D06414" w:rsidRDefault="000E2E2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0E2E2D" w:rsidRPr="00D06414" w:rsidRDefault="000E2E2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4C9BC47" w:rsidR="000E2E2D" w:rsidRPr="00D06414" w:rsidRDefault="000E2E2D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303B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E2E2D" w:rsidRPr="00D06414" w:rsidRDefault="000E2E2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0E2E2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E2E2D" w:rsidRPr="00D06414" w:rsidRDefault="000E2E2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E2E2D" w:rsidRPr="00D06414" w:rsidRDefault="000E2E2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E2E2D" w:rsidRPr="00D06414" w:rsidRDefault="000E2E2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E2E2D" w:rsidRPr="00D06414" w:rsidRDefault="000E2E2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E2E2D" w:rsidRDefault="000E2E2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E2E2D" w:rsidRDefault="000E2E2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0A03904" w:rsidR="000E2E2D" w:rsidRPr="00D86DE4" w:rsidRDefault="005303B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59A9">
          <w:rPr>
            <w:color w:val="999999" w:themeColor="accent2"/>
          </w:rPr>
          <w:t>VCE English Language Performance Descriptors</w:t>
        </w:r>
      </w:sdtContent>
    </w:sdt>
    <w:r w:rsidR="000E2E2D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E2E2D" w:rsidRPr="009370BC" w:rsidRDefault="000E2E2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4704DA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E2E2D"/>
    <w:rsid w:val="000F09E4"/>
    <w:rsid w:val="000F16FD"/>
    <w:rsid w:val="000F5AAF"/>
    <w:rsid w:val="00143520"/>
    <w:rsid w:val="00153AD2"/>
    <w:rsid w:val="001559A9"/>
    <w:rsid w:val="001779EA"/>
    <w:rsid w:val="001A6E53"/>
    <w:rsid w:val="001D3246"/>
    <w:rsid w:val="002279BA"/>
    <w:rsid w:val="00230D31"/>
    <w:rsid w:val="002329F3"/>
    <w:rsid w:val="002375C1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6345E"/>
    <w:rsid w:val="00391986"/>
    <w:rsid w:val="003A00B4"/>
    <w:rsid w:val="003C5E71"/>
    <w:rsid w:val="00417AA3"/>
    <w:rsid w:val="00425DFE"/>
    <w:rsid w:val="00434EDB"/>
    <w:rsid w:val="00440B32"/>
    <w:rsid w:val="0046078D"/>
    <w:rsid w:val="004761F8"/>
    <w:rsid w:val="00495C80"/>
    <w:rsid w:val="004961BF"/>
    <w:rsid w:val="004A2ED8"/>
    <w:rsid w:val="004F5BDA"/>
    <w:rsid w:val="0051631E"/>
    <w:rsid w:val="005303B1"/>
    <w:rsid w:val="00537A1F"/>
    <w:rsid w:val="00566029"/>
    <w:rsid w:val="005923CB"/>
    <w:rsid w:val="005B391B"/>
    <w:rsid w:val="005D3D78"/>
    <w:rsid w:val="005E2EF0"/>
    <w:rsid w:val="005F4092"/>
    <w:rsid w:val="00647DF4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A7310"/>
    <w:rsid w:val="007D1B6D"/>
    <w:rsid w:val="00813C37"/>
    <w:rsid w:val="008154B5"/>
    <w:rsid w:val="00823962"/>
    <w:rsid w:val="00852719"/>
    <w:rsid w:val="00860115"/>
    <w:rsid w:val="0088783C"/>
    <w:rsid w:val="008E534B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0D9C"/>
    <w:rsid w:val="00B41951"/>
    <w:rsid w:val="00B42526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F04F5"/>
    <w:rsid w:val="00E11F16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  <w:rsid w:val="00C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35CEEF-DBB2-40BF-A23E-65BBC8C3A572}"/>
</file>

<file path=customXml/itemProps4.xml><?xml version="1.0" encoding="utf-8"?>
<ds:datastoreItem xmlns:ds="http://schemas.openxmlformats.org/officeDocument/2006/customXml" ds:itemID="{BB584081-BD3B-4BB9-BE46-9C637213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 Performance Descriptors</vt:lpstr>
    </vt:vector>
  </TitlesOfParts>
  <Company>Victorian Curriculum and Assessment Authority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 Performance Descriptors</dc:title>
  <dc:subject>English Language</dc:subject>
  <dc:creator/>
  <cp:keywords>English Language; performance; descriptors; proposed;</cp:keywords>
  <cp:lastModifiedBy>Coleman, Julie J</cp:lastModifiedBy>
  <cp:revision>6</cp:revision>
  <cp:lastPrinted>2015-05-15T02:36:00Z</cp:lastPrinted>
  <dcterms:created xsi:type="dcterms:W3CDTF">2020-04-30T04:37:00Z</dcterms:created>
  <dcterms:modified xsi:type="dcterms:W3CDTF">2020-05-05T22:50:00Z</dcterms:modified>
  <cp:category>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