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5E8C" w14:textId="6F029ADC" w:rsidR="00D34321" w:rsidRPr="009D79EA" w:rsidRDefault="00D34321" w:rsidP="009D79EA">
      <w:pPr>
        <w:pStyle w:val="VCAAHeading1"/>
        <w:spacing w:before="0"/>
      </w:pPr>
      <w:r w:rsidRPr="009D79EA">
        <w:t>VCE Geography</w:t>
      </w:r>
      <w:r w:rsidR="003073E9" w:rsidRPr="009D79E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D34321" w:rsidRPr="002B3671" w14:paraId="45E86783" w14:textId="77777777" w:rsidTr="00D34321">
        <w:tc>
          <w:tcPr>
            <w:tcW w:w="15128" w:type="dxa"/>
            <w:gridSpan w:val="6"/>
            <w:shd w:val="clear" w:color="auto" w:fill="0F7EB4"/>
            <w:vAlign w:val="center"/>
          </w:tcPr>
          <w:p w14:paraId="6D0CF9F2" w14:textId="0F209E85" w:rsidR="00D34321" w:rsidRPr="002B3671" w:rsidRDefault="003073E9" w:rsidP="00D34321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GEOGRAPHY</w:t>
            </w:r>
          </w:p>
          <w:p w14:paraId="25DDB7FF" w14:textId="77777777" w:rsidR="00D34321" w:rsidRPr="002B3671" w:rsidRDefault="00D34321" w:rsidP="00D34321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D34321" w:rsidRPr="008D74EF" w14:paraId="16629626" w14:textId="77777777" w:rsidTr="00D34321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7FD7D711" w14:textId="77777777" w:rsidR="00D34321" w:rsidRPr="00242AC0" w:rsidRDefault="00D34321" w:rsidP="00D34321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D34321" w:rsidRPr="00242AC0" w14:paraId="697A8B67" w14:textId="77777777" w:rsidTr="00D34321">
        <w:tc>
          <w:tcPr>
            <w:tcW w:w="2505" w:type="dxa"/>
            <w:vMerge w:val="restart"/>
            <w:vAlign w:val="center"/>
          </w:tcPr>
          <w:p w14:paraId="5187A3C0" w14:textId="77777777" w:rsidR="00D34321" w:rsidRPr="003073E9" w:rsidRDefault="00D34321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3073E9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5BA1CD4C" w14:textId="19244C83" w:rsidR="00D34321" w:rsidRPr="003073E9" w:rsidRDefault="00D34321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3073E9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2097F663" w14:textId="77777777" w:rsidR="00175A78" w:rsidRPr="003073E9" w:rsidRDefault="00175A78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694DC090" w14:textId="7E1E844F" w:rsidR="00D34321" w:rsidRPr="005A73A9" w:rsidRDefault="000E472D" w:rsidP="005A73A9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3073E9">
              <w:rPr>
                <w:rFonts w:ascii="Arial Narrow" w:hAnsi="Arial Narrow"/>
                <w:b/>
                <w:sz w:val="20"/>
                <w:szCs w:val="20"/>
                <w:lang w:val="en-GB"/>
              </w:rPr>
              <w:t>Analyse land use change and evaluate its impacts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66E139FD" w14:textId="77777777" w:rsidR="00D34321" w:rsidRPr="00242AC0" w:rsidRDefault="00D34321" w:rsidP="009D79E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34321" w:rsidRPr="00242AC0" w14:paraId="6E8166E0" w14:textId="77777777" w:rsidTr="00D34321">
        <w:trPr>
          <w:trHeight w:val="170"/>
        </w:trPr>
        <w:tc>
          <w:tcPr>
            <w:tcW w:w="2505" w:type="dxa"/>
            <w:vMerge/>
            <w:vAlign w:val="center"/>
          </w:tcPr>
          <w:p w14:paraId="1D42EF39" w14:textId="77777777" w:rsidR="00D34321" w:rsidRPr="00242AC0" w:rsidRDefault="00D34321" w:rsidP="00D3432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E01A67" w14:textId="77777777" w:rsidR="00D34321" w:rsidRPr="00443A55" w:rsidRDefault="00D34321" w:rsidP="009D79EA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4F6199D7" w14:textId="77777777" w:rsidR="00D34321" w:rsidRPr="00443A55" w:rsidRDefault="00D34321" w:rsidP="009D79EA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6E579E53" w14:textId="77777777" w:rsidR="00D34321" w:rsidRPr="00443A55" w:rsidRDefault="00D34321" w:rsidP="009D79E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3261D276" w14:textId="77777777" w:rsidR="00D34321" w:rsidRPr="00242AC0" w:rsidRDefault="00D34321" w:rsidP="009D79E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6DD3B987" w14:textId="77777777" w:rsidR="00D34321" w:rsidRPr="00443A55" w:rsidRDefault="00D34321" w:rsidP="009D79E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695268" w:rsidRPr="00242AC0" w14:paraId="5CB2A4F6" w14:textId="77777777" w:rsidTr="00D34321">
        <w:tc>
          <w:tcPr>
            <w:tcW w:w="2505" w:type="dxa"/>
            <w:vMerge/>
            <w:vAlign w:val="center"/>
          </w:tcPr>
          <w:p w14:paraId="47ED1355" w14:textId="77777777" w:rsidR="00695268" w:rsidRPr="00242AC0" w:rsidRDefault="00695268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D0B6D88" w14:textId="34E011ED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 xml:space="preserve">Collects primary data </w:t>
            </w:r>
            <w:proofErr w:type="gramStart"/>
            <w:r w:rsidRPr="003073E9">
              <w:rPr>
                <w:rFonts w:ascii="Arial Narrow" w:hAnsi="Arial Narrow"/>
              </w:rPr>
              <w:t>using</w:t>
            </w:r>
            <w:r w:rsidR="003073E9" w:rsidRPr="003073E9">
              <w:rPr>
                <w:rFonts w:ascii="Arial Narrow" w:hAnsi="Arial Narrow"/>
              </w:rPr>
              <w:t xml:space="preserve">  </w:t>
            </w:r>
            <w:r w:rsidRPr="003073E9">
              <w:rPr>
                <w:rFonts w:ascii="Arial Narrow" w:hAnsi="Arial Narrow"/>
              </w:rPr>
              <w:t>appropriate</w:t>
            </w:r>
            <w:proofErr w:type="gramEnd"/>
            <w:r w:rsidRPr="003073E9">
              <w:rPr>
                <w:rFonts w:ascii="Arial Narrow" w:hAnsi="Arial Narrow"/>
              </w:rPr>
              <w:t xml:space="preserve"> methods including the use of geospatial technologies</w:t>
            </w:r>
          </w:p>
        </w:tc>
        <w:tc>
          <w:tcPr>
            <w:tcW w:w="2520" w:type="dxa"/>
          </w:tcPr>
          <w:p w14:paraId="6A75E973" w14:textId="7ABBBF54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Collects primary and secondary data and other information using appropriate methods including the use of geospatial technologies</w:t>
            </w:r>
          </w:p>
        </w:tc>
        <w:tc>
          <w:tcPr>
            <w:tcW w:w="2524" w:type="dxa"/>
          </w:tcPr>
          <w:p w14:paraId="4889C21C" w14:textId="62ACCFF9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Collects and sorts primary and secondary data and other information using appropriate methods including the use of geospatial technologies</w:t>
            </w:r>
          </w:p>
        </w:tc>
        <w:tc>
          <w:tcPr>
            <w:tcW w:w="2520" w:type="dxa"/>
          </w:tcPr>
          <w:p w14:paraId="67E88423" w14:textId="4185E035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Collects, sorts and processes primary and secondary data and other information using appropriate methods including the use of geospatial technologies</w:t>
            </w:r>
          </w:p>
        </w:tc>
        <w:tc>
          <w:tcPr>
            <w:tcW w:w="2536" w:type="dxa"/>
          </w:tcPr>
          <w:p w14:paraId="5E2215FE" w14:textId="561FBDCE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Collects, sorts, processes and represents primary and secondary data and other information using appropriate methods including the use of geospatial technologies</w:t>
            </w:r>
          </w:p>
        </w:tc>
      </w:tr>
      <w:tr w:rsidR="00D34321" w:rsidRPr="00242AC0" w14:paraId="313AFEC5" w14:textId="77777777" w:rsidTr="003073E9">
        <w:trPr>
          <w:trHeight w:val="998"/>
        </w:trPr>
        <w:tc>
          <w:tcPr>
            <w:tcW w:w="2505" w:type="dxa"/>
            <w:vMerge/>
            <w:vAlign w:val="center"/>
          </w:tcPr>
          <w:p w14:paraId="7554A2DF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AF93CD2" w14:textId="15774CF1" w:rsidR="00D34321" w:rsidRPr="003073E9" w:rsidRDefault="00D34321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 xml:space="preserve">Identifies maps, data and other geographic information </w:t>
            </w:r>
          </w:p>
        </w:tc>
        <w:tc>
          <w:tcPr>
            <w:tcW w:w="2520" w:type="dxa"/>
          </w:tcPr>
          <w:p w14:paraId="569F2F36" w14:textId="32ED6A86" w:rsidR="00D34321" w:rsidRPr="003073E9" w:rsidRDefault="00D34321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Outlines maps, data and other geographic information</w:t>
            </w:r>
          </w:p>
        </w:tc>
        <w:tc>
          <w:tcPr>
            <w:tcW w:w="2524" w:type="dxa"/>
          </w:tcPr>
          <w:p w14:paraId="33E30C2D" w14:textId="799B57FA" w:rsidR="00D34321" w:rsidRPr="003073E9" w:rsidRDefault="00D34321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Describes maps, data and other geographic information</w:t>
            </w:r>
          </w:p>
        </w:tc>
        <w:tc>
          <w:tcPr>
            <w:tcW w:w="2520" w:type="dxa"/>
          </w:tcPr>
          <w:p w14:paraId="2856E0DB" w14:textId="258C6123" w:rsidR="00BF216A" w:rsidRPr="003073E9" w:rsidRDefault="00D34321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Examines maps, data and other geographic informatio</w:t>
            </w:r>
            <w:r w:rsidR="00BF216A">
              <w:rPr>
                <w:rFonts w:ascii="Arial Narrow" w:hAnsi="Arial Narrow"/>
              </w:rPr>
              <w:t>n</w:t>
            </w:r>
          </w:p>
        </w:tc>
        <w:tc>
          <w:tcPr>
            <w:tcW w:w="2536" w:type="dxa"/>
          </w:tcPr>
          <w:p w14:paraId="27FD087A" w14:textId="19CE078D" w:rsidR="00BF216A" w:rsidRPr="003073E9" w:rsidRDefault="00D34321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 xml:space="preserve">Analyses </w:t>
            </w:r>
            <w:r w:rsidR="001B32A3" w:rsidRPr="003073E9">
              <w:rPr>
                <w:rFonts w:ascii="Arial Narrow" w:hAnsi="Arial Narrow"/>
              </w:rPr>
              <w:t>maps, data and other geographic information</w:t>
            </w:r>
          </w:p>
        </w:tc>
      </w:tr>
      <w:tr w:rsidR="00695268" w:rsidRPr="00242AC0" w14:paraId="3BBFC8A5" w14:textId="77777777" w:rsidTr="00D34321">
        <w:tc>
          <w:tcPr>
            <w:tcW w:w="2505" w:type="dxa"/>
            <w:vMerge/>
            <w:vAlign w:val="center"/>
          </w:tcPr>
          <w:p w14:paraId="63F16075" w14:textId="77777777" w:rsidR="00695268" w:rsidRPr="00242AC0" w:rsidRDefault="00695268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0E5659" w14:textId="3DA517B9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Names the processes of change, the reasons for change and the resulting land use change in the selected area</w:t>
            </w:r>
          </w:p>
        </w:tc>
        <w:tc>
          <w:tcPr>
            <w:tcW w:w="2520" w:type="dxa"/>
          </w:tcPr>
          <w:p w14:paraId="4713791C" w14:textId="7DEE5799" w:rsidR="00695268" w:rsidRPr="003073E9" w:rsidRDefault="003073E9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Outlines the</w:t>
            </w:r>
            <w:r w:rsidR="00695268" w:rsidRPr="003073E9">
              <w:rPr>
                <w:rFonts w:ascii="Arial Narrow" w:hAnsi="Arial Narrow"/>
              </w:rPr>
              <w:t xml:space="preserve"> processes of change, the reasons for change and the resulting land use change in the selected area</w:t>
            </w:r>
          </w:p>
        </w:tc>
        <w:tc>
          <w:tcPr>
            <w:tcW w:w="2524" w:type="dxa"/>
          </w:tcPr>
          <w:p w14:paraId="511A0CC6" w14:textId="0908D81F" w:rsidR="00695268" w:rsidRPr="003073E9" w:rsidRDefault="003073E9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Describes the</w:t>
            </w:r>
            <w:r w:rsidR="00695268" w:rsidRPr="003073E9">
              <w:rPr>
                <w:rFonts w:ascii="Arial Narrow" w:hAnsi="Arial Narrow"/>
              </w:rPr>
              <w:t xml:space="preserve"> processes of change, the reasons for change and the resulting land use change in the selected area</w:t>
            </w:r>
          </w:p>
        </w:tc>
        <w:tc>
          <w:tcPr>
            <w:tcW w:w="2520" w:type="dxa"/>
          </w:tcPr>
          <w:p w14:paraId="6F68ED74" w14:textId="753FA664" w:rsidR="00695268" w:rsidRPr="003073E9" w:rsidRDefault="00695268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Explains the processes of change, the reasons for change and the resulting land use change in the selected area</w:t>
            </w:r>
          </w:p>
        </w:tc>
        <w:tc>
          <w:tcPr>
            <w:tcW w:w="2536" w:type="dxa"/>
          </w:tcPr>
          <w:p w14:paraId="276A8011" w14:textId="25DF3866" w:rsidR="00695268" w:rsidRPr="003073E9" w:rsidRDefault="000E668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Analyses</w:t>
            </w:r>
            <w:r w:rsidR="00695268" w:rsidRPr="003073E9">
              <w:rPr>
                <w:rFonts w:ascii="Arial Narrow" w:hAnsi="Arial Narrow"/>
              </w:rPr>
              <w:t xml:space="preserve"> the processes of change, the reasons for change and the resulting land use change in the selected area</w:t>
            </w:r>
          </w:p>
        </w:tc>
      </w:tr>
      <w:tr w:rsidR="00D34321" w:rsidRPr="00242AC0" w14:paraId="62ACEB41" w14:textId="77777777" w:rsidTr="00BF216A">
        <w:trPr>
          <w:trHeight w:val="841"/>
        </w:trPr>
        <w:tc>
          <w:tcPr>
            <w:tcW w:w="2505" w:type="dxa"/>
            <w:vMerge/>
            <w:vAlign w:val="center"/>
          </w:tcPr>
          <w:p w14:paraId="3CD74EF1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AFC3A6F" w14:textId="394F7805" w:rsidR="00BF216A" w:rsidRPr="003073E9" w:rsidRDefault="000E472D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Identifies primary and secondary sources including maps, using appropriate methods such as Geographic Information Systems (GIS) and remote sensing</w:t>
            </w:r>
          </w:p>
        </w:tc>
        <w:tc>
          <w:tcPr>
            <w:tcW w:w="2520" w:type="dxa"/>
          </w:tcPr>
          <w:p w14:paraId="295A87B9" w14:textId="38BC3674" w:rsidR="00D34321" w:rsidRPr="003073E9" w:rsidRDefault="000E472D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Outlines primary and secondary sources including maps, using appropriate methods such as Geographic Information Systems (GIS) and remote sensing</w:t>
            </w:r>
          </w:p>
        </w:tc>
        <w:tc>
          <w:tcPr>
            <w:tcW w:w="2524" w:type="dxa"/>
          </w:tcPr>
          <w:p w14:paraId="11157E0E" w14:textId="2781C36E" w:rsidR="00D34321" w:rsidRPr="003073E9" w:rsidRDefault="00BF216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Describes primary</w:t>
            </w:r>
            <w:r w:rsidR="000E472D" w:rsidRPr="003073E9">
              <w:rPr>
                <w:rFonts w:ascii="Arial Narrow" w:hAnsi="Arial Narrow"/>
              </w:rPr>
              <w:t xml:space="preserve"> and secondary sources including maps, using appropriate methods such as Geographic Information Systems (GIS) and remote sensing</w:t>
            </w:r>
          </w:p>
        </w:tc>
        <w:tc>
          <w:tcPr>
            <w:tcW w:w="2520" w:type="dxa"/>
          </w:tcPr>
          <w:p w14:paraId="00919B42" w14:textId="38330AC9" w:rsidR="00D34321" w:rsidRPr="003073E9" w:rsidRDefault="00BF216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Examines primary</w:t>
            </w:r>
            <w:r w:rsidR="000E472D" w:rsidRPr="003073E9">
              <w:rPr>
                <w:rFonts w:ascii="Arial Narrow" w:hAnsi="Arial Narrow"/>
              </w:rPr>
              <w:t xml:space="preserve"> and secondary sources including maps, using appropriate methods such as Geographic Information Systems (GIS) and remote sensing</w:t>
            </w:r>
          </w:p>
        </w:tc>
        <w:tc>
          <w:tcPr>
            <w:tcW w:w="2536" w:type="dxa"/>
          </w:tcPr>
          <w:p w14:paraId="6CFDE0FB" w14:textId="2D55C757" w:rsidR="00D34321" w:rsidRPr="003073E9" w:rsidRDefault="00BF216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Analyses primary</w:t>
            </w:r>
            <w:r w:rsidR="000E472D" w:rsidRPr="003073E9">
              <w:rPr>
                <w:rFonts w:ascii="Arial Narrow" w:hAnsi="Arial Narrow"/>
              </w:rPr>
              <w:t xml:space="preserve"> and secondary sources including maps, using appropriate methods such as Geographic Information Systems (GIS) and remote sensing</w:t>
            </w:r>
          </w:p>
        </w:tc>
      </w:tr>
      <w:tr w:rsidR="00D34321" w:rsidRPr="00242AC0" w14:paraId="71916413" w14:textId="77777777" w:rsidTr="00D34321">
        <w:tc>
          <w:tcPr>
            <w:tcW w:w="2505" w:type="dxa"/>
            <w:vMerge/>
            <w:vAlign w:val="center"/>
          </w:tcPr>
          <w:p w14:paraId="1EC9FB8D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5C40905" w14:textId="2F55317E" w:rsidR="00D34321" w:rsidRPr="003073E9" w:rsidRDefault="000E472D" w:rsidP="009D79EA">
            <w:pPr>
              <w:pStyle w:val="VCAAbody"/>
              <w:spacing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Identifies positive and negative impacts on the selected area and the surrounding region</w:t>
            </w:r>
            <w:r w:rsidR="000E668A" w:rsidRPr="003073E9">
              <w:rPr>
                <w:rFonts w:ascii="Arial Narrow" w:hAnsi="Arial Narrow"/>
              </w:rPr>
              <w:t xml:space="preserve"> resulting from land use change</w:t>
            </w:r>
          </w:p>
        </w:tc>
        <w:tc>
          <w:tcPr>
            <w:tcW w:w="2520" w:type="dxa"/>
          </w:tcPr>
          <w:p w14:paraId="0C9AD285" w14:textId="5FEE664E" w:rsidR="00D34321" w:rsidRPr="003073E9" w:rsidRDefault="000E472D" w:rsidP="009D79EA">
            <w:pPr>
              <w:pStyle w:val="VCAAbody"/>
              <w:spacing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Outlines positive and negative impacts on the selected area and the surrounding region</w:t>
            </w:r>
            <w:r w:rsidR="000E668A" w:rsidRPr="003073E9">
              <w:rPr>
                <w:rFonts w:ascii="Arial Narrow" w:hAnsi="Arial Narrow"/>
              </w:rPr>
              <w:t xml:space="preserve"> resulting from land use change</w:t>
            </w:r>
          </w:p>
        </w:tc>
        <w:tc>
          <w:tcPr>
            <w:tcW w:w="2524" w:type="dxa"/>
          </w:tcPr>
          <w:p w14:paraId="2A8AF9A8" w14:textId="26292FCB" w:rsidR="00D34321" w:rsidRPr="00BF216A" w:rsidRDefault="000E472D" w:rsidP="009D79EA">
            <w:pPr>
              <w:pStyle w:val="VCAAbody"/>
              <w:spacing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Describes positive and negative impacts on the selected area and the surrounding region resulting from land use change</w:t>
            </w:r>
          </w:p>
        </w:tc>
        <w:tc>
          <w:tcPr>
            <w:tcW w:w="2520" w:type="dxa"/>
          </w:tcPr>
          <w:p w14:paraId="3098647E" w14:textId="32093453" w:rsidR="00D34321" w:rsidRPr="00BF216A" w:rsidRDefault="000E472D" w:rsidP="009D79EA">
            <w:pPr>
              <w:pStyle w:val="VCAAbody"/>
              <w:spacing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Discusses positive and negative impacts on the selected area and the surrounding region resulting from land use change</w:t>
            </w:r>
          </w:p>
        </w:tc>
        <w:tc>
          <w:tcPr>
            <w:tcW w:w="2536" w:type="dxa"/>
          </w:tcPr>
          <w:p w14:paraId="61541408" w14:textId="5965D0D4" w:rsidR="00D34321" w:rsidRPr="003073E9" w:rsidRDefault="00BF216A" w:rsidP="009D79EA">
            <w:pPr>
              <w:pStyle w:val="VCAAbody"/>
              <w:spacing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Evaluates positive</w:t>
            </w:r>
            <w:r w:rsidR="000E472D" w:rsidRPr="003073E9">
              <w:rPr>
                <w:rFonts w:ascii="Arial Narrow" w:hAnsi="Arial Narrow"/>
              </w:rPr>
              <w:t xml:space="preserve"> and negative impacts on the selected area and the surrounding region</w:t>
            </w:r>
            <w:r w:rsidR="000E668A" w:rsidRPr="003073E9">
              <w:rPr>
                <w:rFonts w:ascii="Arial Narrow" w:hAnsi="Arial Narrow"/>
              </w:rPr>
              <w:t xml:space="preserve"> resulting from land use change</w:t>
            </w:r>
          </w:p>
        </w:tc>
      </w:tr>
      <w:tr w:rsidR="00D34321" w:rsidRPr="00242AC0" w14:paraId="25B3DB9B" w14:textId="77777777" w:rsidTr="00D34321">
        <w:tc>
          <w:tcPr>
            <w:tcW w:w="2505" w:type="dxa"/>
            <w:vMerge/>
            <w:vAlign w:val="center"/>
          </w:tcPr>
          <w:p w14:paraId="71B91FB1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601ADA1" w14:textId="4F2761CF" w:rsidR="00D34321" w:rsidRPr="009D79EA" w:rsidRDefault="000E472D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Describes how the combination of primary and secondary data sources help answer the research question</w:t>
            </w:r>
            <w:r w:rsidR="00695268" w:rsidRPr="003073E9">
              <w:rPr>
                <w:rFonts w:ascii="Arial Narrow" w:hAnsi="Arial Narrow"/>
              </w:rPr>
              <w:t xml:space="preserve"> of </w:t>
            </w:r>
            <w:r w:rsidRPr="003073E9">
              <w:rPr>
                <w:rFonts w:ascii="Arial Narrow" w:hAnsi="Arial Narrow"/>
              </w:rPr>
              <w:t>the fieldwork investigation</w:t>
            </w:r>
          </w:p>
        </w:tc>
        <w:tc>
          <w:tcPr>
            <w:tcW w:w="2520" w:type="dxa"/>
          </w:tcPr>
          <w:p w14:paraId="696EDBB8" w14:textId="1B7AC013" w:rsidR="00D34321" w:rsidRPr="009D79EA" w:rsidRDefault="000E472D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 xml:space="preserve">Explains how the combination of primary and secondary data sources help answer the research question </w:t>
            </w:r>
            <w:r w:rsidR="00695268" w:rsidRPr="003073E9">
              <w:rPr>
                <w:rFonts w:ascii="Arial Narrow" w:hAnsi="Arial Narrow"/>
              </w:rPr>
              <w:t xml:space="preserve">of </w:t>
            </w:r>
            <w:r w:rsidRPr="003073E9">
              <w:rPr>
                <w:rFonts w:ascii="Arial Narrow" w:hAnsi="Arial Narrow"/>
              </w:rPr>
              <w:t>the fieldwork investigation</w:t>
            </w:r>
          </w:p>
        </w:tc>
        <w:tc>
          <w:tcPr>
            <w:tcW w:w="2524" w:type="dxa"/>
          </w:tcPr>
          <w:p w14:paraId="5CF000B4" w14:textId="05800635" w:rsidR="00D34321" w:rsidRPr="009D79EA" w:rsidRDefault="00BF216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Discusses how</w:t>
            </w:r>
            <w:r w:rsidR="000E472D" w:rsidRPr="003073E9">
              <w:rPr>
                <w:rFonts w:ascii="Arial Narrow" w:hAnsi="Arial Narrow"/>
              </w:rPr>
              <w:t xml:space="preserve"> the combination of primary and secondary data sources help answer the research question</w:t>
            </w:r>
            <w:r w:rsidR="00695268" w:rsidRPr="003073E9">
              <w:rPr>
                <w:rFonts w:ascii="Arial Narrow" w:hAnsi="Arial Narrow"/>
              </w:rPr>
              <w:t xml:space="preserve"> of </w:t>
            </w:r>
            <w:r w:rsidR="000E472D" w:rsidRPr="003073E9">
              <w:rPr>
                <w:rFonts w:ascii="Arial Narrow" w:hAnsi="Arial Narrow"/>
              </w:rPr>
              <w:t>the fieldwork investigation</w:t>
            </w:r>
          </w:p>
        </w:tc>
        <w:tc>
          <w:tcPr>
            <w:tcW w:w="2520" w:type="dxa"/>
          </w:tcPr>
          <w:p w14:paraId="7E57D194" w14:textId="3752FB50" w:rsidR="00D34321" w:rsidRPr="009D79EA" w:rsidRDefault="000E472D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Examines how the combination of primary and secondary data sources help answer the research question</w:t>
            </w:r>
            <w:r w:rsidR="00695268" w:rsidRPr="003073E9">
              <w:rPr>
                <w:rFonts w:ascii="Arial Narrow" w:hAnsi="Arial Narrow"/>
              </w:rPr>
              <w:t xml:space="preserve"> of </w:t>
            </w:r>
            <w:r w:rsidRPr="003073E9">
              <w:rPr>
                <w:rFonts w:ascii="Arial Narrow" w:hAnsi="Arial Narrow"/>
              </w:rPr>
              <w:t>the fieldwork investigation</w:t>
            </w:r>
          </w:p>
        </w:tc>
        <w:tc>
          <w:tcPr>
            <w:tcW w:w="2536" w:type="dxa"/>
          </w:tcPr>
          <w:p w14:paraId="0A1012F4" w14:textId="7F8BF56B" w:rsidR="00D34321" w:rsidRPr="009D79EA" w:rsidRDefault="00BF216A" w:rsidP="009D79EA">
            <w:pPr>
              <w:pStyle w:val="VCAAbody"/>
              <w:spacing w:before="60" w:after="60"/>
              <w:rPr>
                <w:rFonts w:ascii="Arial Narrow" w:hAnsi="Arial Narrow"/>
              </w:rPr>
            </w:pPr>
            <w:r w:rsidRPr="003073E9">
              <w:rPr>
                <w:rFonts w:ascii="Arial Narrow" w:hAnsi="Arial Narrow"/>
              </w:rPr>
              <w:t>Evaluates how</w:t>
            </w:r>
            <w:r w:rsidR="000E472D" w:rsidRPr="003073E9">
              <w:rPr>
                <w:rFonts w:ascii="Arial Narrow" w:hAnsi="Arial Narrow"/>
              </w:rPr>
              <w:t xml:space="preserve"> the combination of primary and secondary data sources help answer the research question</w:t>
            </w:r>
            <w:r w:rsidR="00695268" w:rsidRPr="003073E9">
              <w:rPr>
                <w:rFonts w:ascii="Arial Narrow" w:hAnsi="Arial Narrow"/>
              </w:rPr>
              <w:t xml:space="preserve"> of</w:t>
            </w:r>
            <w:r w:rsidR="000E668A" w:rsidRPr="003073E9">
              <w:rPr>
                <w:rFonts w:ascii="Arial Narrow" w:hAnsi="Arial Narrow"/>
              </w:rPr>
              <w:t xml:space="preserve"> </w:t>
            </w:r>
            <w:r w:rsidR="000E472D" w:rsidRPr="003073E9">
              <w:rPr>
                <w:rFonts w:ascii="Arial Narrow" w:hAnsi="Arial Narrow"/>
              </w:rPr>
              <w:t>the fieldwork investigation</w:t>
            </w:r>
          </w:p>
        </w:tc>
      </w:tr>
    </w:tbl>
    <w:p w14:paraId="262BCF3D" w14:textId="77777777" w:rsidR="001068DC" w:rsidRDefault="001068DC" w:rsidP="00D34321">
      <w:pPr>
        <w:spacing w:after="120" w:line="240" w:lineRule="auto"/>
        <w:rPr>
          <w:rFonts w:cs="Arial"/>
          <w:sz w:val="18"/>
          <w:szCs w:val="18"/>
        </w:rPr>
      </w:pPr>
    </w:p>
    <w:p w14:paraId="2AB92EED" w14:textId="2FF0063B" w:rsidR="00D34321" w:rsidRPr="005A39D6" w:rsidRDefault="00D34321" w:rsidP="00D34321">
      <w:pPr>
        <w:spacing w:after="120" w:line="240" w:lineRule="auto"/>
        <w:rPr>
          <w:rFonts w:cs="Arial"/>
          <w:sz w:val="18"/>
          <w:szCs w:val="18"/>
        </w:rPr>
      </w:pPr>
      <w:r w:rsidRPr="005A39D6">
        <w:rPr>
          <w:rFonts w:cs="Arial"/>
          <w:sz w:val="18"/>
          <w:szCs w:val="18"/>
        </w:rPr>
        <w:t>KEY to marking scale bas</w:t>
      </w:r>
      <w:r w:rsidR="001068DC">
        <w:rPr>
          <w:rFonts w:cs="Arial"/>
          <w:sz w:val="18"/>
          <w:szCs w:val="18"/>
        </w:rPr>
        <w:t>ed on the Outcome contributing 5</w:t>
      </w:r>
      <w:r w:rsidRPr="005A39D6">
        <w:rPr>
          <w:rFonts w:cs="Arial"/>
          <w:sz w:val="18"/>
          <w:szCs w:val="18"/>
        </w:rPr>
        <w:t xml:space="preserve">0 </w:t>
      </w:r>
      <w:proofErr w:type="gramStart"/>
      <w:r w:rsidRPr="005A39D6">
        <w:rPr>
          <w:rFonts w:cs="Arial"/>
          <w:sz w:val="18"/>
          <w:szCs w:val="18"/>
        </w:rPr>
        <w:t>marks</w:t>
      </w:r>
      <w:proofErr w:type="gramEnd"/>
    </w:p>
    <w:p w14:paraId="3508C768" w14:textId="77777777" w:rsidR="00D34321" w:rsidRDefault="00D34321" w:rsidP="00D34321">
      <w:pPr>
        <w:pStyle w:val="VCAAfigures"/>
        <w:spacing w:before="0" w:after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1068DC" w:rsidRPr="007D0AF8" w14:paraId="22449E3E" w14:textId="77777777" w:rsidTr="006B020E">
        <w:trPr>
          <w:trHeight w:val="170"/>
        </w:trPr>
        <w:tc>
          <w:tcPr>
            <w:tcW w:w="2318" w:type="dxa"/>
            <w:vAlign w:val="center"/>
          </w:tcPr>
          <w:p w14:paraId="1DE9A2D9" w14:textId="77777777" w:rsidR="001068DC" w:rsidRPr="007D0AF8" w:rsidRDefault="001068D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318" w:type="dxa"/>
            <w:vAlign w:val="center"/>
          </w:tcPr>
          <w:p w14:paraId="27193407" w14:textId="77777777" w:rsidR="001068DC" w:rsidRPr="007D0AF8" w:rsidRDefault="001068D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318" w:type="dxa"/>
            <w:vAlign w:val="center"/>
          </w:tcPr>
          <w:p w14:paraId="0CEDB82E" w14:textId="77777777" w:rsidR="001068DC" w:rsidRPr="007D0AF8" w:rsidRDefault="001068D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318" w:type="dxa"/>
            <w:vAlign w:val="center"/>
          </w:tcPr>
          <w:p w14:paraId="16BF62B4" w14:textId="77777777" w:rsidR="001068DC" w:rsidRPr="007D0AF8" w:rsidRDefault="001068D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318" w:type="dxa"/>
            <w:vAlign w:val="center"/>
          </w:tcPr>
          <w:p w14:paraId="473A4A63" w14:textId="77777777" w:rsidR="001068DC" w:rsidRPr="007D0AF8" w:rsidRDefault="001068D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662147BD" w14:textId="20F78EE9" w:rsidR="00D34321" w:rsidRDefault="00D34321" w:rsidP="00EE5F48">
      <w:pPr>
        <w:pStyle w:val="VCAAfigures"/>
        <w:spacing w:before="0" w:after="0"/>
        <w:jc w:val="left"/>
      </w:pPr>
    </w:p>
    <w:sectPr w:rsidR="00D34321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695268" w:rsidRDefault="0069526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95268" w:rsidRDefault="0069526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69526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695268" w:rsidRPr="00D06414" w:rsidRDefault="0069526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516811E5">
                <wp:simplePos x="0" y="0"/>
                <wp:positionH relativeFrom="column">
                  <wp:posOffset>-1250315</wp:posOffset>
                </wp:positionH>
                <wp:positionV relativeFrom="page">
                  <wp:posOffset>-125730</wp:posOffset>
                </wp:positionV>
                <wp:extent cx="11421745" cy="586740"/>
                <wp:effectExtent l="0" t="0" r="8255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695268" w:rsidRPr="00D06414" w:rsidRDefault="0069526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C4C3B05" w:rsidR="00695268" w:rsidRPr="00D06414" w:rsidRDefault="0069526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52FF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95268" w:rsidRPr="00D06414" w:rsidRDefault="0069526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69526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695268" w:rsidRPr="00D06414" w:rsidRDefault="0069526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95268" w:rsidRPr="00D06414" w:rsidRDefault="0069526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95268" w:rsidRPr="00D06414" w:rsidRDefault="0069526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95268" w:rsidRPr="00D06414" w:rsidRDefault="0069526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695268" w:rsidRDefault="0069526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95268" w:rsidRDefault="0069526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695268" w:rsidRPr="00D86DE4" w:rsidRDefault="005A73A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5268">
          <w:rPr>
            <w:color w:val="999999" w:themeColor="accent2"/>
          </w:rPr>
          <w:t>VCE Sociology: Performance descriptors</w:t>
        </w:r>
      </w:sdtContent>
    </w:sdt>
    <w:r w:rsidR="00695268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695268" w:rsidRPr="009370BC" w:rsidRDefault="0069526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7FA"/>
    <w:multiLevelType w:val="hybridMultilevel"/>
    <w:tmpl w:val="9A28A01A"/>
    <w:lvl w:ilvl="0" w:tplc="FD12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1700A6"/>
    <w:multiLevelType w:val="hybridMultilevel"/>
    <w:tmpl w:val="22AC9076"/>
    <w:lvl w:ilvl="0" w:tplc="04163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202328396">
    <w:abstractNumId w:val="6"/>
  </w:num>
  <w:num w:numId="2" w16cid:durableId="754283986">
    <w:abstractNumId w:val="4"/>
  </w:num>
  <w:num w:numId="3" w16cid:durableId="1655916863">
    <w:abstractNumId w:val="2"/>
  </w:num>
  <w:num w:numId="4" w16cid:durableId="1836259025">
    <w:abstractNumId w:val="0"/>
  </w:num>
  <w:num w:numId="5" w16cid:durableId="1794514227">
    <w:abstractNumId w:val="5"/>
  </w:num>
  <w:num w:numId="6" w16cid:durableId="960305057">
    <w:abstractNumId w:val="3"/>
  </w:num>
  <w:num w:numId="7" w16cid:durableId="61495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472D"/>
    <w:rsid w:val="000E668A"/>
    <w:rsid w:val="000F09E4"/>
    <w:rsid w:val="000F16FD"/>
    <w:rsid w:val="000F5AAF"/>
    <w:rsid w:val="001068DC"/>
    <w:rsid w:val="00117C70"/>
    <w:rsid w:val="00143520"/>
    <w:rsid w:val="00153AD2"/>
    <w:rsid w:val="00155FFE"/>
    <w:rsid w:val="00175A78"/>
    <w:rsid w:val="001779EA"/>
    <w:rsid w:val="001B32A3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073E9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86498"/>
    <w:rsid w:val="00495C80"/>
    <w:rsid w:val="004A2ED8"/>
    <w:rsid w:val="004F5BDA"/>
    <w:rsid w:val="0051631E"/>
    <w:rsid w:val="00537A1F"/>
    <w:rsid w:val="00552FFE"/>
    <w:rsid w:val="00566029"/>
    <w:rsid w:val="00574299"/>
    <w:rsid w:val="005923CB"/>
    <w:rsid w:val="005A39D6"/>
    <w:rsid w:val="005A73A9"/>
    <w:rsid w:val="005B391B"/>
    <w:rsid w:val="005C5B0D"/>
    <w:rsid w:val="005D3D78"/>
    <w:rsid w:val="005E2EF0"/>
    <w:rsid w:val="005F4092"/>
    <w:rsid w:val="0068471E"/>
    <w:rsid w:val="00684F98"/>
    <w:rsid w:val="00693FFD"/>
    <w:rsid w:val="00695268"/>
    <w:rsid w:val="006D2159"/>
    <w:rsid w:val="006F787C"/>
    <w:rsid w:val="00702636"/>
    <w:rsid w:val="00711CF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14BDC"/>
    <w:rsid w:val="009370BC"/>
    <w:rsid w:val="00960781"/>
    <w:rsid w:val="00970580"/>
    <w:rsid w:val="0098739B"/>
    <w:rsid w:val="009B61E5"/>
    <w:rsid w:val="009D1E89"/>
    <w:rsid w:val="009D79EA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216A"/>
    <w:rsid w:val="00BF6C23"/>
    <w:rsid w:val="00C4080C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34321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EE5F48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34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  <w:rsid w:val="00A80B2F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aab662d-a6b2-42d6-996b-a574723d1ad8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57CC7C-C14F-4F92-992F-CFEDB6F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B9A2F-38A7-4DD9-86C7-1C8539B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Sociology: Performance descriptors</vt:lpstr>
    </vt:vector>
  </TitlesOfParts>
  <Company>Victorian Curriculum and Assessment Authority</Company>
  <LinksUpToDate>false</LinksUpToDate>
  <CharactersWithSpaces>3853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3, outcome 1</cp:keywords>
  <cp:lastModifiedBy>Patrick Wilkes</cp:lastModifiedBy>
  <cp:revision>4</cp:revision>
  <cp:lastPrinted>2023-11-17T03:34:00Z</cp:lastPrinted>
  <dcterms:created xsi:type="dcterms:W3CDTF">2023-12-18T04:25:00Z</dcterms:created>
  <dcterms:modified xsi:type="dcterms:W3CDTF">2023-12-27T23:28:00Z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