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0AE2B06D" w:rsidR="00F4525C" w:rsidRDefault="00242AC0" w:rsidP="00245C29">
      <w:pPr>
        <w:pStyle w:val="VCAAHeading1"/>
        <w:spacing w:before="240" w:after="240"/>
      </w:pPr>
      <w:r>
        <w:t xml:space="preserve">VCE </w:t>
      </w:r>
      <w:r w:rsidR="00C713A3">
        <w:t>Legal Studies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10322C" w:rsidRPr="0010322C" w14:paraId="2CE58392" w14:textId="77777777" w:rsidTr="0010322C">
        <w:tc>
          <w:tcPr>
            <w:tcW w:w="15021" w:type="dxa"/>
            <w:gridSpan w:val="6"/>
            <w:shd w:val="clear" w:color="auto" w:fill="0F7EB4"/>
            <w:vAlign w:val="center"/>
          </w:tcPr>
          <w:p w14:paraId="70AA58F2" w14:textId="12D83046" w:rsidR="0010322C" w:rsidRPr="00850356" w:rsidRDefault="0010322C" w:rsidP="0010322C">
            <w:pPr>
              <w:tabs>
                <w:tab w:val="left" w:pos="9580"/>
              </w:tabs>
              <w:spacing w:before="60"/>
              <w:ind w:right="-136"/>
              <w:jc w:val="center"/>
              <w:rPr>
                <w:rFonts w:ascii="Arial Narrow" w:hAnsi="Arial Narrow"/>
                <w:b/>
                <w:color w:val="FFFFFF" w:themeColor="background1"/>
                <w:sz w:val="24"/>
                <w:szCs w:val="24"/>
                <w:lang w:eastAsia="en-AU"/>
              </w:rPr>
            </w:pPr>
            <w:r w:rsidRPr="00850356">
              <w:rPr>
                <w:rFonts w:ascii="Arial Narrow" w:hAnsi="Arial Narrow"/>
                <w:b/>
                <w:color w:val="FFFFFF" w:themeColor="background1"/>
                <w:sz w:val="24"/>
                <w:szCs w:val="24"/>
                <w:lang w:eastAsia="en-AU"/>
              </w:rPr>
              <w:t xml:space="preserve">VCE </w:t>
            </w:r>
            <w:r w:rsidR="00C713A3">
              <w:rPr>
                <w:rFonts w:ascii="Arial Narrow" w:hAnsi="Arial Narrow"/>
                <w:b/>
                <w:color w:val="FFFFFF" w:themeColor="background1"/>
                <w:sz w:val="24"/>
                <w:szCs w:val="24"/>
                <w:lang w:eastAsia="en-AU"/>
              </w:rPr>
              <w:t>Legal Studies</w:t>
            </w:r>
          </w:p>
          <w:p w14:paraId="445FDE72" w14:textId="52232543" w:rsidR="0010322C" w:rsidRPr="0010322C" w:rsidRDefault="0010322C" w:rsidP="0010322C">
            <w:pPr>
              <w:spacing w:before="60" w:after="60"/>
              <w:jc w:val="center"/>
              <w:rPr>
                <w:rFonts w:ascii="Arial Narrow" w:eastAsia="Calibri" w:hAnsi="Arial Narrow"/>
                <w:b/>
                <w:sz w:val="20"/>
                <w:szCs w:val="20"/>
                <w:lang w:val="en-AU"/>
              </w:rPr>
            </w:pPr>
            <w:r w:rsidRPr="00850356">
              <w:rPr>
                <w:rFonts w:ascii="Arial Narrow" w:hAnsi="Arial Narrow"/>
                <w:b/>
                <w:color w:val="FFFFFF" w:themeColor="background1"/>
                <w:sz w:val="24"/>
                <w:szCs w:val="24"/>
                <w:lang w:eastAsia="en-AU"/>
              </w:rPr>
              <w:t>SCHOOL-ASSESSED COURSEWORK</w:t>
            </w:r>
          </w:p>
        </w:tc>
      </w:tr>
      <w:tr w:rsidR="0010322C" w:rsidRPr="0010322C" w14:paraId="575EE165" w14:textId="77777777" w:rsidTr="0010322C">
        <w:tc>
          <w:tcPr>
            <w:tcW w:w="15021" w:type="dxa"/>
            <w:gridSpan w:val="6"/>
            <w:tcBorders>
              <w:bottom w:val="single" w:sz="4" w:space="0" w:color="auto"/>
            </w:tcBorders>
            <w:vAlign w:val="center"/>
          </w:tcPr>
          <w:p w14:paraId="0E6F1AAC" w14:textId="4FA81BF3" w:rsidR="0010322C" w:rsidRPr="0010322C" w:rsidRDefault="0010322C" w:rsidP="00850356">
            <w:pPr>
              <w:spacing w:before="60" w:after="60"/>
              <w:jc w:val="center"/>
              <w:rPr>
                <w:rFonts w:ascii="Arial Narrow" w:eastAsia="Calibri" w:hAnsi="Arial Narrow"/>
                <w:b/>
                <w:sz w:val="20"/>
                <w:szCs w:val="20"/>
                <w:lang w:val="en-AU"/>
              </w:rPr>
            </w:pPr>
            <w:r w:rsidRPr="0010322C">
              <w:rPr>
                <w:rFonts w:ascii="Arial Narrow" w:eastAsia="Calibri" w:hAnsi="Arial Narrow"/>
                <w:b/>
                <w:sz w:val="20"/>
                <w:szCs w:val="20"/>
                <w:lang w:val="en-AU"/>
              </w:rPr>
              <w:t>Performance descriptors</w:t>
            </w:r>
          </w:p>
        </w:tc>
      </w:tr>
      <w:tr w:rsidR="0010322C" w:rsidRPr="0010322C" w14:paraId="23A7BA43" w14:textId="77777777" w:rsidTr="0010322C">
        <w:tc>
          <w:tcPr>
            <w:tcW w:w="15021" w:type="dxa"/>
            <w:gridSpan w:val="6"/>
            <w:tcBorders>
              <w:left w:val="nil"/>
              <w:right w:val="nil"/>
            </w:tcBorders>
            <w:vAlign w:val="center"/>
          </w:tcPr>
          <w:p w14:paraId="16ADC693" w14:textId="77777777" w:rsidR="0010322C" w:rsidRPr="0010322C" w:rsidRDefault="0010322C" w:rsidP="00245C29">
            <w:pPr>
              <w:spacing w:before="40" w:after="40"/>
              <w:jc w:val="center"/>
              <w:rPr>
                <w:rFonts w:ascii="Arial Narrow" w:eastAsia="Calibri" w:hAnsi="Arial Narrow"/>
                <w:b/>
                <w:sz w:val="8"/>
                <w:szCs w:val="8"/>
                <w:lang w:val="en-AU"/>
              </w:rPr>
            </w:pPr>
          </w:p>
        </w:tc>
      </w:tr>
      <w:tr w:rsidR="00245C29" w:rsidRPr="00AC3EE8" w14:paraId="23B73769" w14:textId="77777777" w:rsidTr="00241C58">
        <w:tc>
          <w:tcPr>
            <w:tcW w:w="2689" w:type="dxa"/>
            <w:vMerge w:val="restart"/>
            <w:vAlign w:val="center"/>
          </w:tcPr>
          <w:p w14:paraId="0607C206" w14:textId="17574570" w:rsidR="00245C29" w:rsidRPr="00241C58" w:rsidRDefault="00245C29"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Pr>
                <w:rFonts w:ascii="Arial Narrow" w:eastAsia="Calibri" w:hAnsi="Arial Narrow" w:cs="Cordia New"/>
                <w:b/>
                <w:bCs/>
                <w:sz w:val="20"/>
                <w:szCs w:val="20"/>
              </w:rPr>
              <w:t>4</w:t>
            </w:r>
          </w:p>
          <w:p w14:paraId="72AB099D" w14:textId="115F792A" w:rsidR="00245C29" w:rsidRPr="00241C58" w:rsidRDefault="00245C29"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Pr>
                <w:rFonts w:ascii="Arial Narrow" w:eastAsia="Calibri" w:hAnsi="Arial Narrow" w:cs="Cordia New"/>
                <w:b/>
                <w:bCs/>
                <w:sz w:val="20"/>
                <w:szCs w:val="20"/>
              </w:rPr>
              <w:t>1</w:t>
            </w:r>
          </w:p>
          <w:p w14:paraId="269CB709" w14:textId="6676BBB1" w:rsidR="00245C29" w:rsidRPr="00D224CC" w:rsidRDefault="00245C29" w:rsidP="00245C29">
            <w:pPr>
              <w:spacing w:before="120" w:after="120"/>
              <w:rPr>
                <w:rFonts w:ascii="Arial Narrow" w:hAnsi="Arial Narrow"/>
                <w:b/>
                <w:bCs/>
                <w:i/>
                <w:iCs/>
                <w:sz w:val="18"/>
                <w:szCs w:val="18"/>
              </w:rPr>
            </w:pPr>
            <w:r w:rsidRPr="0031488D">
              <w:rPr>
                <w:rFonts w:ascii="Arial Narrow" w:eastAsia="Calibri" w:hAnsi="Arial Narrow" w:cs="Cordia New"/>
                <w:b/>
                <w:bCs/>
                <w:i/>
                <w:iCs/>
                <w:color w:val="221E1F"/>
                <w:sz w:val="20"/>
                <w:szCs w:val="20"/>
              </w:rPr>
              <w:t>On completion of this unit the student should be able to discuss the ability of parliament and courts to make law and evaluate the means by which the Australian Constitution acts as a check on parliament in law-making</w:t>
            </w:r>
            <w:r w:rsidRPr="00DE31B8">
              <w:rPr>
                <w:rFonts w:ascii="Arial Narrow" w:hAnsi="Arial Narrow"/>
                <w:bCs/>
              </w:rPr>
              <w:t>.</w:t>
            </w:r>
          </w:p>
        </w:tc>
        <w:tc>
          <w:tcPr>
            <w:tcW w:w="12332" w:type="dxa"/>
            <w:gridSpan w:val="5"/>
            <w:shd w:val="clear" w:color="auto" w:fill="0F7EB4"/>
            <w:vAlign w:val="center"/>
          </w:tcPr>
          <w:p w14:paraId="1465E2B7" w14:textId="77777777" w:rsidR="00245C29" w:rsidRPr="00241C58" w:rsidRDefault="00245C29"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245C29" w:rsidRPr="00AC3EE8" w14:paraId="154FBA96" w14:textId="77777777" w:rsidTr="00241C58">
        <w:trPr>
          <w:trHeight w:val="170"/>
        </w:trPr>
        <w:tc>
          <w:tcPr>
            <w:tcW w:w="2689" w:type="dxa"/>
            <w:vMerge/>
            <w:vAlign w:val="center"/>
          </w:tcPr>
          <w:p w14:paraId="46D58213" w14:textId="77777777" w:rsidR="00245C29" w:rsidRPr="00AC3EE8" w:rsidRDefault="00245C29" w:rsidP="00850356">
            <w:pPr>
              <w:spacing w:before="120" w:after="120"/>
              <w:rPr>
                <w:rFonts w:ascii="Arial Narrow" w:hAnsi="Arial Narrow"/>
              </w:rPr>
            </w:pPr>
          </w:p>
        </w:tc>
        <w:tc>
          <w:tcPr>
            <w:tcW w:w="2466" w:type="dxa"/>
            <w:vAlign w:val="center"/>
          </w:tcPr>
          <w:p w14:paraId="7ED51E7D" w14:textId="77777777" w:rsidR="00245C29" w:rsidRPr="00241C58" w:rsidRDefault="00245C29"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245C29" w:rsidRPr="00241C58" w:rsidRDefault="00245C29"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245C29" w:rsidRPr="00241C58" w:rsidRDefault="00245C29"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245C29" w:rsidRPr="00241C58" w:rsidRDefault="00245C29"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245C29" w:rsidRPr="00241C58" w:rsidRDefault="00245C29"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245C29" w:rsidRPr="00AC3EE8" w14:paraId="715C8597" w14:textId="77777777" w:rsidTr="00245C29">
        <w:tc>
          <w:tcPr>
            <w:tcW w:w="2689" w:type="dxa"/>
            <w:vMerge/>
            <w:vAlign w:val="center"/>
          </w:tcPr>
          <w:p w14:paraId="2EB5C883" w14:textId="77777777" w:rsidR="00245C29" w:rsidRPr="00AC3EE8" w:rsidRDefault="00245C29" w:rsidP="001C7CAC"/>
        </w:tc>
        <w:tc>
          <w:tcPr>
            <w:tcW w:w="2466" w:type="dxa"/>
          </w:tcPr>
          <w:p w14:paraId="605EC246" w14:textId="357764CE"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Demonstrates a very limited understanding of the Australian Constitution and its purpose</w:t>
            </w:r>
          </w:p>
        </w:tc>
        <w:tc>
          <w:tcPr>
            <w:tcW w:w="2466" w:type="dxa"/>
          </w:tcPr>
          <w:p w14:paraId="2E4FF0C7" w14:textId="3099F529"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Provides a limited explanation of the Australian Constitution and a basic understanding of how it impacts State and Commonwealth law making powers</w:t>
            </w:r>
          </w:p>
        </w:tc>
        <w:tc>
          <w:tcPr>
            <w:tcW w:w="2467" w:type="dxa"/>
          </w:tcPr>
          <w:p w14:paraId="4BD4CF52" w14:textId="1000B002"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Provides a logical explanation of the means by which the Australian Constitution acts as a check on parliament in law making</w:t>
            </w:r>
          </w:p>
        </w:tc>
        <w:tc>
          <w:tcPr>
            <w:tcW w:w="2466" w:type="dxa"/>
          </w:tcPr>
          <w:p w14:paraId="3E224C23" w14:textId="25E488D7"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Provides an evaluation of the means by which the Australian Constitution acts as a check on parliament in law making</w:t>
            </w:r>
          </w:p>
        </w:tc>
        <w:tc>
          <w:tcPr>
            <w:tcW w:w="2467" w:type="dxa"/>
          </w:tcPr>
          <w:p w14:paraId="44CFC244" w14:textId="57DC7483"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Provides a comprehensive evaluation of the means and ability of the Australia Constitution to act as a check on parliament in law making using examples</w:t>
            </w:r>
          </w:p>
        </w:tc>
      </w:tr>
      <w:tr w:rsidR="00245C29" w:rsidRPr="00AC3EE8" w14:paraId="0776F904" w14:textId="77777777" w:rsidTr="00245C29">
        <w:tc>
          <w:tcPr>
            <w:tcW w:w="2689" w:type="dxa"/>
            <w:vMerge/>
            <w:vAlign w:val="center"/>
          </w:tcPr>
          <w:p w14:paraId="057DD85C" w14:textId="77777777" w:rsidR="00245C29" w:rsidRPr="00AC3EE8" w:rsidRDefault="00245C29" w:rsidP="00BF46C4"/>
        </w:tc>
        <w:tc>
          <w:tcPr>
            <w:tcW w:w="2466" w:type="dxa"/>
          </w:tcPr>
          <w:p w14:paraId="4545CD27" w14:textId="3F8190E4"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Identifies some factors that affect the ability of parliament and courts to make law</w:t>
            </w:r>
          </w:p>
        </w:tc>
        <w:tc>
          <w:tcPr>
            <w:tcW w:w="2466" w:type="dxa"/>
          </w:tcPr>
          <w:p w14:paraId="21DC3859" w14:textId="69DCF5CA"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Explains some factors that affect the ability of parliament and courts to make law</w:t>
            </w:r>
          </w:p>
        </w:tc>
        <w:tc>
          <w:tcPr>
            <w:tcW w:w="2467" w:type="dxa"/>
          </w:tcPr>
          <w:p w14:paraId="186A6662" w14:textId="70657AF0"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Discusses the ability of parliament and courts to make law</w:t>
            </w:r>
          </w:p>
        </w:tc>
        <w:tc>
          <w:tcPr>
            <w:tcW w:w="2466" w:type="dxa"/>
          </w:tcPr>
          <w:p w14:paraId="44E66BFB" w14:textId="6F31EB63"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Discusses the factors that affect the ability of parliament and courts to make law supported with examples</w:t>
            </w:r>
          </w:p>
        </w:tc>
        <w:tc>
          <w:tcPr>
            <w:tcW w:w="2467" w:type="dxa"/>
          </w:tcPr>
          <w:p w14:paraId="56C966BB" w14:textId="525EF46B"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Comprehensive discussion of the ability of parliament and courts to make law, supported with examples</w:t>
            </w:r>
          </w:p>
        </w:tc>
      </w:tr>
      <w:tr w:rsidR="00245C29" w:rsidRPr="00AC3EE8" w14:paraId="77C16339" w14:textId="77777777" w:rsidTr="00245C29">
        <w:tc>
          <w:tcPr>
            <w:tcW w:w="2689" w:type="dxa"/>
            <w:vMerge/>
            <w:vAlign w:val="center"/>
          </w:tcPr>
          <w:p w14:paraId="12FF06CD" w14:textId="77777777" w:rsidR="00245C29" w:rsidRPr="00AC3EE8" w:rsidRDefault="00245C29" w:rsidP="00BF46C4"/>
        </w:tc>
        <w:tc>
          <w:tcPr>
            <w:tcW w:w="2466" w:type="dxa"/>
          </w:tcPr>
          <w:p w14:paraId="5CB49CF2" w14:textId="4790930C"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Identifies some features of the relationship between parliament and court in law-making</w:t>
            </w:r>
          </w:p>
        </w:tc>
        <w:tc>
          <w:tcPr>
            <w:tcW w:w="2466" w:type="dxa"/>
          </w:tcPr>
          <w:p w14:paraId="17F5CBC7" w14:textId="35D5F20C"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Explains the key features of the relationship between parliament and court in law-making</w:t>
            </w:r>
          </w:p>
        </w:tc>
        <w:tc>
          <w:tcPr>
            <w:tcW w:w="2467" w:type="dxa"/>
          </w:tcPr>
          <w:p w14:paraId="4B975F4B" w14:textId="5EF57122"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Explains the features of the relationship between parliament and court in law-making, supported with examples</w:t>
            </w:r>
          </w:p>
        </w:tc>
        <w:tc>
          <w:tcPr>
            <w:tcW w:w="2466" w:type="dxa"/>
          </w:tcPr>
          <w:p w14:paraId="092F9D76" w14:textId="740B646B" w:rsidR="00245C29" w:rsidRPr="00245C29" w:rsidRDefault="00245C29" w:rsidP="00245C29">
            <w:pPr>
              <w:spacing w:before="120" w:after="120"/>
              <w:rPr>
                <w:rFonts w:ascii="Arial Narrow" w:hAnsi="Arial Narrow"/>
                <w:sz w:val="16"/>
                <w:szCs w:val="16"/>
              </w:rPr>
            </w:pPr>
            <w:r w:rsidRPr="00245C29">
              <w:rPr>
                <w:rFonts w:ascii="Arial Narrow" w:hAnsi="Arial Narrow"/>
                <w:sz w:val="16"/>
                <w:szCs w:val="16"/>
              </w:rPr>
              <w:t>Analyses the relationship between parliament and courts in law-making</w:t>
            </w:r>
          </w:p>
        </w:tc>
        <w:tc>
          <w:tcPr>
            <w:tcW w:w="2467" w:type="dxa"/>
          </w:tcPr>
          <w:p w14:paraId="02B869D9" w14:textId="0821C3B1"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Analyses the relationship between parliament and courts in law-making in detail, supported with examples</w:t>
            </w:r>
          </w:p>
        </w:tc>
      </w:tr>
      <w:tr w:rsidR="00245C29" w:rsidRPr="00AC3EE8" w14:paraId="63F60284" w14:textId="77777777" w:rsidTr="00245C29">
        <w:tc>
          <w:tcPr>
            <w:tcW w:w="2689" w:type="dxa"/>
            <w:vMerge/>
            <w:vAlign w:val="center"/>
          </w:tcPr>
          <w:p w14:paraId="5D71AB9B" w14:textId="77777777" w:rsidR="00245C29" w:rsidRPr="00AC3EE8" w:rsidRDefault="00245C29" w:rsidP="00BF46C4"/>
        </w:tc>
        <w:tc>
          <w:tcPr>
            <w:tcW w:w="2466" w:type="dxa"/>
          </w:tcPr>
          <w:p w14:paraId="6CD13BB0" w14:textId="2645D9DC" w:rsidR="00245C29" w:rsidRPr="00245C29" w:rsidRDefault="00245C29" w:rsidP="00245C29">
            <w:pPr>
              <w:spacing w:before="100" w:after="100"/>
              <w:rPr>
                <w:rFonts w:ascii="Arial Narrow" w:hAnsi="Arial Narrow"/>
                <w:sz w:val="16"/>
                <w:szCs w:val="16"/>
              </w:rPr>
            </w:pPr>
            <w:r w:rsidRPr="00245C29">
              <w:rPr>
                <w:rFonts w:ascii="Arial Narrow" w:hAnsi="Arial Narrow"/>
                <w:strike/>
                <w:sz w:val="16"/>
                <w:szCs w:val="16"/>
              </w:rPr>
              <w:t>Makes</w:t>
            </w:r>
            <w:r w:rsidRPr="00245C29">
              <w:rPr>
                <w:rFonts w:ascii="Arial Narrow" w:hAnsi="Arial Narrow"/>
                <w:sz w:val="16"/>
                <w:szCs w:val="16"/>
              </w:rPr>
              <w:t xml:space="preserve"> Very limited reference to key legal terminology and concepts</w:t>
            </w:r>
          </w:p>
        </w:tc>
        <w:tc>
          <w:tcPr>
            <w:tcW w:w="2466" w:type="dxa"/>
          </w:tcPr>
          <w:p w14:paraId="31EBBBBC" w14:textId="41FA3F84"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Some demonstration of correct usage and understanding of key legal terminology and concepts</w:t>
            </w:r>
          </w:p>
        </w:tc>
        <w:tc>
          <w:tcPr>
            <w:tcW w:w="2467" w:type="dxa"/>
          </w:tcPr>
          <w:p w14:paraId="3B8DEB3F" w14:textId="5B8B8132"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Demonstrates and applies a sound understanding of a range of legal terms and concepts</w:t>
            </w:r>
          </w:p>
        </w:tc>
        <w:tc>
          <w:tcPr>
            <w:tcW w:w="2466" w:type="dxa"/>
          </w:tcPr>
          <w:p w14:paraId="4E86A275" w14:textId="4B626A82"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Demonstrates a sound understanding of all applicable legal terms and concepts with some appropriate application of these to a scenario</w:t>
            </w:r>
          </w:p>
        </w:tc>
        <w:tc>
          <w:tcPr>
            <w:tcW w:w="2467" w:type="dxa"/>
          </w:tcPr>
          <w:p w14:paraId="1E1342CA" w14:textId="199CE53B"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Demonstrates a comprehensive understanding of legal terms and concepts and applies these appropriately to a range of scenarios</w:t>
            </w:r>
          </w:p>
        </w:tc>
      </w:tr>
      <w:tr w:rsidR="00245C29" w:rsidRPr="00AC3EE8" w14:paraId="502CDAC0" w14:textId="77777777" w:rsidTr="00245C29">
        <w:tc>
          <w:tcPr>
            <w:tcW w:w="2689" w:type="dxa"/>
            <w:vMerge/>
            <w:vAlign w:val="center"/>
          </w:tcPr>
          <w:p w14:paraId="1DA5C69F" w14:textId="77777777" w:rsidR="00245C29" w:rsidRPr="00AC3EE8" w:rsidRDefault="00245C29" w:rsidP="00BF46C4"/>
        </w:tc>
        <w:tc>
          <w:tcPr>
            <w:tcW w:w="2466" w:type="dxa"/>
          </w:tcPr>
          <w:p w14:paraId="7BC196A7" w14:textId="04F4BF4A"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Limited attempts to explain legal principles and information using key knowledge</w:t>
            </w:r>
          </w:p>
        </w:tc>
        <w:tc>
          <w:tcPr>
            <w:tcW w:w="2466" w:type="dxa"/>
          </w:tcPr>
          <w:p w14:paraId="4CBD7D27" w14:textId="2DF07745" w:rsidR="00245C29" w:rsidRPr="00245C29" w:rsidRDefault="00245C29" w:rsidP="00245C29">
            <w:pPr>
              <w:spacing w:before="120" w:after="120"/>
              <w:rPr>
                <w:rFonts w:ascii="Arial Narrow" w:hAnsi="Arial Narrow"/>
                <w:strike/>
                <w:sz w:val="16"/>
                <w:szCs w:val="16"/>
              </w:rPr>
            </w:pPr>
            <w:r w:rsidRPr="00245C29">
              <w:rPr>
                <w:rFonts w:ascii="Arial Narrow" w:hAnsi="Arial Narrow"/>
                <w:sz w:val="16"/>
                <w:szCs w:val="16"/>
              </w:rPr>
              <w:t>Applies some legal principles and information to scenarios</w:t>
            </w:r>
          </w:p>
        </w:tc>
        <w:tc>
          <w:tcPr>
            <w:tcW w:w="2467" w:type="dxa"/>
          </w:tcPr>
          <w:p w14:paraId="1C771E02" w14:textId="3B8E29A8"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Provides an appropriate synthesis of relevant information when applying legal principles and information from different sources</w:t>
            </w:r>
          </w:p>
        </w:tc>
        <w:tc>
          <w:tcPr>
            <w:tcW w:w="2466" w:type="dxa"/>
          </w:tcPr>
          <w:p w14:paraId="20C6E83A" w14:textId="3C92C3E3"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Provides a detailed synthesis of relevant information when applying and interpreting information from different sources</w:t>
            </w:r>
          </w:p>
        </w:tc>
        <w:tc>
          <w:tcPr>
            <w:tcW w:w="2467" w:type="dxa"/>
          </w:tcPr>
          <w:p w14:paraId="09C7C713" w14:textId="3312C068" w:rsidR="00245C29" w:rsidRPr="00245C29" w:rsidRDefault="00245C29" w:rsidP="00245C29">
            <w:pPr>
              <w:spacing w:before="100" w:after="100"/>
              <w:rPr>
                <w:rFonts w:ascii="Arial Narrow" w:hAnsi="Arial Narrow"/>
                <w:sz w:val="16"/>
                <w:szCs w:val="16"/>
              </w:rPr>
            </w:pPr>
            <w:r w:rsidRPr="00245C29">
              <w:rPr>
                <w:rFonts w:ascii="Arial Narrow" w:hAnsi="Arial Narrow"/>
                <w:sz w:val="16"/>
                <w:szCs w:val="16"/>
              </w:rPr>
              <w:t>Provides a</w:t>
            </w:r>
            <w:r w:rsidRPr="00245C29">
              <w:rPr>
                <w:rFonts w:ascii="Arial Narrow" w:hAnsi="Arial Narrow"/>
                <w:color w:val="FF0000"/>
                <w:sz w:val="16"/>
                <w:szCs w:val="16"/>
              </w:rPr>
              <w:t xml:space="preserve"> </w:t>
            </w:r>
            <w:r w:rsidRPr="00245C29">
              <w:rPr>
                <w:rFonts w:ascii="Arial Narrow" w:hAnsi="Arial Narrow"/>
                <w:sz w:val="16"/>
                <w:szCs w:val="16"/>
              </w:rPr>
              <w:t>comprehensive synthesis supported by sophisticated use of information and legal principles from different sources</w:t>
            </w:r>
          </w:p>
        </w:tc>
      </w:tr>
    </w:tbl>
    <w:p w14:paraId="323A6DC7" w14:textId="0394A0B6" w:rsidR="00850356" w:rsidRDefault="00850356" w:rsidP="00245C29">
      <w:pPr>
        <w:spacing w:before="120" w:after="12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BF46C4">
        <w:rPr>
          <w:rFonts w:ascii="Arial Narrow" w:hAnsi="Arial Narrow" w:cs="Arial"/>
          <w:sz w:val="20"/>
          <w:szCs w:val="20"/>
        </w:rPr>
        <w:t>6</w:t>
      </w:r>
      <w:r w:rsidR="00C713A3">
        <w:rPr>
          <w:rFonts w:ascii="Arial Narrow" w:hAnsi="Arial Narrow" w:cs="Arial"/>
          <w:sz w:val="20"/>
          <w:szCs w:val="20"/>
        </w:rPr>
        <w:t>0</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1857"/>
        <w:gridCol w:w="1848"/>
        <w:gridCol w:w="1939"/>
        <w:gridCol w:w="1857"/>
        <w:gridCol w:w="1857"/>
      </w:tblGrid>
      <w:tr w:rsidR="00BF46C4" w:rsidRPr="007D08EE" w14:paraId="26F1A25E" w14:textId="77777777" w:rsidTr="00BF46C4">
        <w:trPr>
          <w:trHeight w:val="170"/>
        </w:trPr>
        <w:tc>
          <w:tcPr>
            <w:tcW w:w="1857" w:type="dxa"/>
            <w:vAlign w:val="center"/>
          </w:tcPr>
          <w:p w14:paraId="39D8085D" w14:textId="77777777" w:rsidR="00BF46C4" w:rsidRPr="00245C29" w:rsidRDefault="00BF46C4" w:rsidP="00FD0943">
            <w:pPr>
              <w:tabs>
                <w:tab w:val="left" w:pos="2268"/>
                <w:tab w:val="left" w:pos="4536"/>
                <w:tab w:val="left" w:pos="6765"/>
                <w:tab w:val="left" w:pos="9060"/>
              </w:tabs>
              <w:spacing w:before="120" w:after="120"/>
              <w:jc w:val="center"/>
              <w:rPr>
                <w:rFonts w:ascii="Arial Narrow" w:hAnsi="Arial Narrow"/>
                <w:sz w:val="20"/>
                <w:szCs w:val="20"/>
              </w:rPr>
            </w:pPr>
            <w:r w:rsidRPr="00245C29">
              <w:rPr>
                <w:rFonts w:ascii="Arial Narrow" w:hAnsi="Arial Narrow"/>
                <w:sz w:val="20"/>
                <w:szCs w:val="20"/>
              </w:rPr>
              <w:t>Very Low 1–12</w:t>
            </w:r>
          </w:p>
        </w:tc>
        <w:tc>
          <w:tcPr>
            <w:tcW w:w="1848" w:type="dxa"/>
            <w:vAlign w:val="center"/>
          </w:tcPr>
          <w:p w14:paraId="2FC5B752" w14:textId="77777777" w:rsidR="00BF46C4" w:rsidRPr="00245C29" w:rsidRDefault="00BF46C4" w:rsidP="00FD0943">
            <w:pPr>
              <w:tabs>
                <w:tab w:val="left" w:pos="2268"/>
                <w:tab w:val="left" w:pos="4536"/>
                <w:tab w:val="left" w:pos="6765"/>
                <w:tab w:val="left" w:pos="9060"/>
              </w:tabs>
              <w:spacing w:before="120" w:after="120"/>
              <w:jc w:val="center"/>
              <w:rPr>
                <w:rFonts w:ascii="Arial Narrow" w:hAnsi="Arial Narrow"/>
                <w:sz w:val="20"/>
                <w:szCs w:val="20"/>
              </w:rPr>
            </w:pPr>
            <w:r w:rsidRPr="00245C29">
              <w:rPr>
                <w:rFonts w:ascii="Arial Narrow" w:hAnsi="Arial Narrow"/>
                <w:sz w:val="20"/>
                <w:szCs w:val="20"/>
              </w:rPr>
              <w:t>Low 13–24</w:t>
            </w:r>
          </w:p>
        </w:tc>
        <w:tc>
          <w:tcPr>
            <w:tcW w:w="1939" w:type="dxa"/>
            <w:vAlign w:val="center"/>
          </w:tcPr>
          <w:p w14:paraId="4F168EF8" w14:textId="77777777" w:rsidR="00BF46C4" w:rsidRPr="00245C29" w:rsidRDefault="00BF46C4" w:rsidP="00FD0943">
            <w:pPr>
              <w:tabs>
                <w:tab w:val="left" w:pos="2268"/>
                <w:tab w:val="left" w:pos="4536"/>
                <w:tab w:val="left" w:pos="6765"/>
                <w:tab w:val="left" w:pos="9060"/>
              </w:tabs>
              <w:spacing w:before="120" w:after="120"/>
              <w:jc w:val="center"/>
              <w:rPr>
                <w:rFonts w:ascii="Arial Narrow" w:hAnsi="Arial Narrow"/>
                <w:sz w:val="20"/>
                <w:szCs w:val="20"/>
              </w:rPr>
            </w:pPr>
            <w:r w:rsidRPr="00245C29">
              <w:rPr>
                <w:rFonts w:ascii="Arial Narrow" w:hAnsi="Arial Narrow"/>
                <w:sz w:val="20"/>
                <w:szCs w:val="20"/>
              </w:rPr>
              <w:t>Medium 25–36</w:t>
            </w:r>
          </w:p>
        </w:tc>
        <w:tc>
          <w:tcPr>
            <w:tcW w:w="1857" w:type="dxa"/>
            <w:vAlign w:val="center"/>
          </w:tcPr>
          <w:p w14:paraId="2F779331" w14:textId="77777777" w:rsidR="00BF46C4" w:rsidRPr="00245C29" w:rsidRDefault="00BF46C4" w:rsidP="00FD0943">
            <w:pPr>
              <w:tabs>
                <w:tab w:val="left" w:pos="2268"/>
                <w:tab w:val="left" w:pos="4536"/>
                <w:tab w:val="left" w:pos="6765"/>
                <w:tab w:val="left" w:pos="9060"/>
              </w:tabs>
              <w:spacing w:before="120" w:after="120"/>
              <w:jc w:val="center"/>
              <w:rPr>
                <w:rFonts w:ascii="Arial Narrow" w:hAnsi="Arial Narrow"/>
                <w:sz w:val="20"/>
                <w:szCs w:val="20"/>
              </w:rPr>
            </w:pPr>
            <w:r w:rsidRPr="00245C29">
              <w:rPr>
                <w:rFonts w:ascii="Arial Narrow" w:hAnsi="Arial Narrow"/>
                <w:sz w:val="20"/>
                <w:szCs w:val="20"/>
              </w:rPr>
              <w:t>High 37–48</w:t>
            </w:r>
          </w:p>
        </w:tc>
        <w:tc>
          <w:tcPr>
            <w:tcW w:w="1857" w:type="dxa"/>
            <w:vAlign w:val="center"/>
          </w:tcPr>
          <w:p w14:paraId="19568323" w14:textId="77777777" w:rsidR="00BF46C4" w:rsidRPr="00245C29" w:rsidRDefault="00BF46C4" w:rsidP="00FD0943">
            <w:pPr>
              <w:tabs>
                <w:tab w:val="left" w:pos="2268"/>
                <w:tab w:val="left" w:pos="4536"/>
                <w:tab w:val="left" w:pos="6765"/>
                <w:tab w:val="left" w:pos="9060"/>
              </w:tabs>
              <w:spacing w:before="120" w:after="120"/>
              <w:jc w:val="center"/>
              <w:rPr>
                <w:rFonts w:ascii="Arial Narrow" w:hAnsi="Arial Narrow"/>
                <w:sz w:val="20"/>
                <w:szCs w:val="20"/>
              </w:rPr>
            </w:pPr>
            <w:r w:rsidRPr="00245C29">
              <w:rPr>
                <w:rFonts w:ascii="Arial Narrow" w:hAnsi="Arial Narrow"/>
                <w:sz w:val="20"/>
                <w:szCs w:val="20"/>
              </w:rPr>
              <w:t>Very High 49–60</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4F5B1456">
          <wp:simplePos x="0" y="0"/>
          <wp:positionH relativeFrom="page">
            <wp:align>right</wp:align>
          </wp:positionH>
          <wp:positionV relativeFrom="bottomMargin">
            <wp:posOffset>-10160</wp:posOffset>
          </wp:positionV>
          <wp:extent cx="10680065" cy="7105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710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6D228FAD" w:rsidR="00CE691B" w:rsidRPr="00D86DE4" w:rsidRDefault="00245C2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Legal Studies: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0322C"/>
    <w:rsid w:val="00137685"/>
    <w:rsid w:val="001416E5"/>
    <w:rsid w:val="00143520"/>
    <w:rsid w:val="00153AD2"/>
    <w:rsid w:val="001779EA"/>
    <w:rsid w:val="001C7CAC"/>
    <w:rsid w:val="001D3246"/>
    <w:rsid w:val="001E2AB9"/>
    <w:rsid w:val="002279BA"/>
    <w:rsid w:val="002329F3"/>
    <w:rsid w:val="00241C58"/>
    <w:rsid w:val="00242AC0"/>
    <w:rsid w:val="00243F0D"/>
    <w:rsid w:val="00245C29"/>
    <w:rsid w:val="00260767"/>
    <w:rsid w:val="002647BB"/>
    <w:rsid w:val="002754C1"/>
    <w:rsid w:val="002841C8"/>
    <w:rsid w:val="0028516B"/>
    <w:rsid w:val="002A7755"/>
    <w:rsid w:val="002C6F90"/>
    <w:rsid w:val="002E4FB5"/>
    <w:rsid w:val="00302FB8"/>
    <w:rsid w:val="00304EA1"/>
    <w:rsid w:val="0030656E"/>
    <w:rsid w:val="00311EFD"/>
    <w:rsid w:val="00313C4C"/>
    <w:rsid w:val="0031488D"/>
    <w:rsid w:val="00314D81"/>
    <w:rsid w:val="00322FC6"/>
    <w:rsid w:val="0035293F"/>
    <w:rsid w:val="003775F0"/>
    <w:rsid w:val="00391986"/>
    <w:rsid w:val="003A00B4"/>
    <w:rsid w:val="003B2CEE"/>
    <w:rsid w:val="003B7637"/>
    <w:rsid w:val="003C5E71"/>
    <w:rsid w:val="004045CF"/>
    <w:rsid w:val="00417AA3"/>
    <w:rsid w:val="00420B63"/>
    <w:rsid w:val="00425DFE"/>
    <w:rsid w:val="00434EDB"/>
    <w:rsid w:val="00440B32"/>
    <w:rsid w:val="00443A55"/>
    <w:rsid w:val="0046078D"/>
    <w:rsid w:val="00476B9F"/>
    <w:rsid w:val="00495C80"/>
    <w:rsid w:val="004A2ED8"/>
    <w:rsid w:val="004E363F"/>
    <w:rsid w:val="004F5BDA"/>
    <w:rsid w:val="0051631E"/>
    <w:rsid w:val="00537A1F"/>
    <w:rsid w:val="00566029"/>
    <w:rsid w:val="00574299"/>
    <w:rsid w:val="005923CB"/>
    <w:rsid w:val="005A74BB"/>
    <w:rsid w:val="005B391B"/>
    <w:rsid w:val="005D3D78"/>
    <w:rsid w:val="005E2EF0"/>
    <w:rsid w:val="005F4092"/>
    <w:rsid w:val="0068471E"/>
    <w:rsid w:val="00684F98"/>
    <w:rsid w:val="00693FFD"/>
    <w:rsid w:val="006D2159"/>
    <w:rsid w:val="006F787C"/>
    <w:rsid w:val="00702636"/>
    <w:rsid w:val="00724507"/>
    <w:rsid w:val="00773E6C"/>
    <w:rsid w:val="00781FB1"/>
    <w:rsid w:val="007B36F6"/>
    <w:rsid w:val="007D1B6D"/>
    <w:rsid w:val="00813C37"/>
    <w:rsid w:val="008154B5"/>
    <w:rsid w:val="00823962"/>
    <w:rsid w:val="00850356"/>
    <w:rsid w:val="00852719"/>
    <w:rsid w:val="00860115"/>
    <w:rsid w:val="0088783C"/>
    <w:rsid w:val="008D74EF"/>
    <w:rsid w:val="008F289C"/>
    <w:rsid w:val="00930B54"/>
    <w:rsid w:val="009370BC"/>
    <w:rsid w:val="00970580"/>
    <w:rsid w:val="0098739B"/>
    <w:rsid w:val="009B61E5"/>
    <w:rsid w:val="009D1E89"/>
    <w:rsid w:val="009E5707"/>
    <w:rsid w:val="009E6132"/>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81B70"/>
    <w:rsid w:val="00BB3BAB"/>
    <w:rsid w:val="00BD0724"/>
    <w:rsid w:val="00BD2B91"/>
    <w:rsid w:val="00BE5521"/>
    <w:rsid w:val="00BF46C4"/>
    <w:rsid w:val="00BF6C23"/>
    <w:rsid w:val="00C53263"/>
    <w:rsid w:val="00C713A3"/>
    <w:rsid w:val="00C75F1D"/>
    <w:rsid w:val="00C95156"/>
    <w:rsid w:val="00CA0DC2"/>
    <w:rsid w:val="00CB68E8"/>
    <w:rsid w:val="00CC365C"/>
    <w:rsid w:val="00CC73CD"/>
    <w:rsid w:val="00CC7568"/>
    <w:rsid w:val="00CE691B"/>
    <w:rsid w:val="00D04F01"/>
    <w:rsid w:val="00D06414"/>
    <w:rsid w:val="00D224CC"/>
    <w:rsid w:val="00D24E5A"/>
    <w:rsid w:val="00D338E4"/>
    <w:rsid w:val="00D51947"/>
    <w:rsid w:val="00D532F0"/>
    <w:rsid w:val="00D77413"/>
    <w:rsid w:val="00D7790E"/>
    <w:rsid w:val="00D82759"/>
    <w:rsid w:val="00D86DE4"/>
    <w:rsid w:val="00DD07A3"/>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DD07A3"/>
    <w:rPr>
      <w:sz w:val="16"/>
      <w:szCs w:val="16"/>
    </w:rPr>
  </w:style>
  <w:style w:type="paragraph" w:styleId="CommentText">
    <w:name w:val="annotation text"/>
    <w:basedOn w:val="Normal"/>
    <w:link w:val="CommentTextChar"/>
    <w:uiPriority w:val="99"/>
    <w:unhideWhenUsed/>
    <w:rsid w:val="00DD07A3"/>
    <w:pPr>
      <w:spacing w:line="240" w:lineRule="auto"/>
    </w:pPr>
    <w:rPr>
      <w:sz w:val="20"/>
      <w:szCs w:val="20"/>
    </w:rPr>
  </w:style>
  <w:style w:type="character" w:customStyle="1" w:styleId="CommentTextChar">
    <w:name w:val="Comment Text Char"/>
    <w:basedOn w:val="DefaultParagraphFont"/>
    <w:link w:val="CommentText"/>
    <w:uiPriority w:val="99"/>
    <w:rsid w:val="00DD07A3"/>
    <w:rPr>
      <w:sz w:val="20"/>
      <w:szCs w:val="20"/>
    </w:rPr>
  </w:style>
  <w:style w:type="paragraph" w:styleId="CommentSubject">
    <w:name w:val="annotation subject"/>
    <w:basedOn w:val="CommentText"/>
    <w:next w:val="CommentText"/>
    <w:link w:val="CommentSubjectChar"/>
    <w:uiPriority w:val="99"/>
    <w:semiHidden/>
    <w:unhideWhenUsed/>
    <w:rsid w:val="009E6132"/>
    <w:rPr>
      <w:b/>
      <w:bCs/>
    </w:rPr>
  </w:style>
  <w:style w:type="character" w:customStyle="1" w:styleId="CommentSubjectChar">
    <w:name w:val="Comment Subject Char"/>
    <w:basedOn w:val="CommentTextChar"/>
    <w:link w:val="CommentSubject"/>
    <w:uiPriority w:val="99"/>
    <w:semiHidden/>
    <w:rsid w:val="009E6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740614"/>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1aab662d-a6b2-42d6-996b-a574723d1ad8"/>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sharepoint/v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3.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VCE Music Composition: Performance descriptors</vt:lpstr>
    </vt:vector>
  </TitlesOfParts>
  <Company>Victorian Curriculum and Assessment Authority</Company>
  <LinksUpToDate>false</LinksUpToDate>
  <CharactersWithSpaces>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Legal Studies: Performance descriptors</dc:title>
  <dc:subject>VCE Legal Studies</dc:subject>
  <dc:creator>vcaa@education.vic.gov.au</dc:creator>
  <cp:keywords>legal, performance descriptors, Unit 4, Outcome 1</cp:keywords>
  <cp:lastModifiedBy>Julie Coleman</cp:lastModifiedBy>
  <cp:revision>2</cp:revision>
  <cp:lastPrinted>2015-05-15T02:36:00Z</cp:lastPrinted>
  <dcterms:created xsi:type="dcterms:W3CDTF">2023-09-11T04:00:00Z</dcterms:created>
  <dcterms:modified xsi:type="dcterms:W3CDTF">2023-09-11T04:00:00Z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