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191A455" w:rsidR="00F4525C" w:rsidRDefault="008E42BD" w:rsidP="009B61E5">
          <w:pPr>
            <w:pStyle w:val="VCAADocumenttitle"/>
          </w:pPr>
          <w:r>
            <w:t>VCE Mathematics</w:t>
          </w:r>
        </w:p>
      </w:sdtContent>
    </w:sdt>
    <w:p w14:paraId="74E62D52" w14:textId="1E28BDAC" w:rsidR="00243F0D" w:rsidRPr="00823962" w:rsidRDefault="008E42BD" w:rsidP="008E42BD">
      <w:pPr>
        <w:pStyle w:val="VCAAHeading2"/>
      </w:pPr>
      <w:bookmarkStart w:id="0" w:name="TemplateOverview"/>
      <w:bookmarkEnd w:id="0"/>
      <w:r w:rsidRPr="004624BF">
        <w:t xml:space="preserve">Advice on implementing Units 1 and 2 from </w:t>
      </w:r>
      <w:r>
        <w:t xml:space="preserve">the </w:t>
      </w:r>
      <w:r w:rsidRPr="004624BF">
        <w:t xml:space="preserve">current study design in 2022 as preparation for </w:t>
      </w:r>
      <w:r>
        <w:br/>
      </w:r>
      <w:r w:rsidRPr="004624BF">
        <w:t>Units 3 and 4 of the revised study design in 2023</w:t>
      </w:r>
    </w:p>
    <w:p w14:paraId="7744FAAB" w14:textId="22BB5109" w:rsidR="00B22928" w:rsidRDefault="00B22928" w:rsidP="00B22928">
      <w:pPr>
        <w:pStyle w:val="VCAAbody"/>
      </w:pPr>
      <w:r>
        <w:t xml:space="preserve">Following the accreditation of the revised study design 2023–2027 by the VRQA, the </w:t>
      </w:r>
      <w:r w:rsidRPr="00B22928">
        <w:t>following</w:t>
      </w:r>
      <w:r>
        <w:t xml:space="preserve"> advice is offered to help with planning and preparation for Unit</w:t>
      </w:r>
      <w:r>
        <w:t>s</w:t>
      </w:r>
      <w:bookmarkStart w:id="1" w:name="_GoBack"/>
      <w:bookmarkEnd w:id="1"/>
      <w:r>
        <w:t xml:space="preserve"> 1 and 2 Mathematics courses in 2022.</w:t>
      </w:r>
    </w:p>
    <w:p w14:paraId="50646837" w14:textId="05826AB9" w:rsidR="002754C1" w:rsidRPr="002754C1" w:rsidRDefault="008E42BD" w:rsidP="002754C1">
      <w:pPr>
        <w:pStyle w:val="VCAAHeading3"/>
      </w:pPr>
      <w:r>
        <w:t>Foundation Mathematics</w:t>
      </w:r>
    </w:p>
    <w:p w14:paraId="55615BE1" w14:textId="77777777" w:rsidR="008E42BD" w:rsidRDefault="008E42BD" w:rsidP="008E42BD">
      <w:pPr>
        <w:pStyle w:val="VCAAbody"/>
      </w:pPr>
      <w:r>
        <w:t>Foundation Mathematics Units 3 and 4 is a new study for implementation from 2023.</w:t>
      </w:r>
    </w:p>
    <w:p w14:paraId="130E9711" w14:textId="77777777" w:rsidR="008E42BD" w:rsidRDefault="008E42BD" w:rsidP="008E42BD">
      <w:pPr>
        <w:pStyle w:val="VCAAbody"/>
      </w:pPr>
      <w:r>
        <w:t>Implementation in 2022 of the current Foundation Mathematics Units 1 and 2 with some simple examples of financial and consumer mathematics as part of the Patterns and number area of study will provide a suitable preparation for Foundation Mathematics Units 3 and 4 in 2023.</w:t>
      </w:r>
    </w:p>
    <w:p w14:paraId="31C60FDD" w14:textId="77777777" w:rsidR="008E42BD" w:rsidRDefault="008E42BD" w:rsidP="008E42BD">
      <w:pPr>
        <w:pStyle w:val="VCAAbody"/>
      </w:pPr>
      <w:r>
        <w:t xml:space="preserve">Implementation in 2022 of the current General Mathematics Units 1 and 2, including the following topics: </w:t>
      </w:r>
      <w:r w:rsidRPr="006539EE">
        <w:rPr>
          <w:i/>
        </w:rPr>
        <w:t>Linear relations and equations</w:t>
      </w:r>
      <w:r>
        <w:t xml:space="preserve">, </w:t>
      </w:r>
      <w:r w:rsidRPr="006539EE">
        <w:rPr>
          <w:i/>
        </w:rPr>
        <w:t>Computation and practical arithmetic</w:t>
      </w:r>
      <w:r>
        <w:t xml:space="preserve">, </w:t>
      </w:r>
      <w:r w:rsidRPr="006539EE">
        <w:rPr>
          <w:i/>
        </w:rPr>
        <w:t>Financial arithmetic</w:t>
      </w:r>
      <w:r>
        <w:t xml:space="preserve">, </w:t>
      </w:r>
      <w:r w:rsidRPr="006539EE">
        <w:rPr>
          <w:i/>
        </w:rPr>
        <w:t>Shape and measurement</w:t>
      </w:r>
      <w:r>
        <w:t xml:space="preserve"> and </w:t>
      </w:r>
      <w:r w:rsidRPr="006539EE">
        <w:rPr>
          <w:i/>
        </w:rPr>
        <w:t>Investigation and comparing data distributions</w:t>
      </w:r>
      <w:r>
        <w:t xml:space="preserve"> will also provide a suitable preparation for Foundation Mathematics Units 3 and 4 in 2023.</w:t>
      </w:r>
    </w:p>
    <w:p w14:paraId="7E1E824E" w14:textId="77777777" w:rsidR="008E42BD" w:rsidRDefault="008E42BD" w:rsidP="008E42BD">
      <w:pPr>
        <w:pStyle w:val="VCAAHeading3"/>
      </w:pPr>
      <w:r w:rsidRPr="0059051F">
        <w:t>General Mathematics</w:t>
      </w:r>
    </w:p>
    <w:p w14:paraId="7379DDB9" w14:textId="51096880" w:rsidR="008E42BD" w:rsidRDefault="008E42BD" w:rsidP="00D7331F">
      <w:pPr>
        <w:pStyle w:val="VCAAbody"/>
        <w:spacing w:after="240"/>
        <w:ind w:right="-142"/>
      </w:pPr>
      <w:r>
        <w:t>Implementation in 2022 of the following selection of topics from the current General Mathematics Units 1 and 2 will provide a suitable preparation for General Mathematics Units 3 and 4 in 2023.</w:t>
      </w:r>
      <w:r w:rsidRPr="00B54793">
        <w:t xml:space="preserve"> </w:t>
      </w:r>
      <w:r>
        <w:t>The unit and order of coverage can be varied as suits the teaching and learning context.</w:t>
      </w:r>
    </w:p>
    <w:tbl>
      <w:tblPr>
        <w:tblStyle w:val="VCAATableClosed"/>
        <w:tblW w:w="97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4888"/>
        <w:gridCol w:w="4888"/>
      </w:tblGrid>
      <w:tr w:rsidR="008E42BD" w:rsidRPr="00B13D3B" w14:paraId="27BFE34A" w14:textId="77777777" w:rsidTr="008E4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8" w:type="dxa"/>
          </w:tcPr>
          <w:p w14:paraId="2EAD0C86" w14:textId="13AA1735" w:rsidR="008E42BD" w:rsidRPr="00B13D3B" w:rsidRDefault="008E42BD" w:rsidP="00B13D3B">
            <w:pPr>
              <w:pStyle w:val="VCAAtablecondensedheading"/>
            </w:pPr>
            <w:r>
              <w:t>Unit 1</w:t>
            </w:r>
            <w:r w:rsidRPr="00B13D3B">
              <w:t xml:space="preserve"> </w:t>
            </w:r>
          </w:p>
        </w:tc>
        <w:tc>
          <w:tcPr>
            <w:tcW w:w="4888" w:type="dxa"/>
          </w:tcPr>
          <w:p w14:paraId="3FC6328B" w14:textId="341273B9" w:rsidR="008E42BD" w:rsidRPr="00B13D3B" w:rsidRDefault="008E42BD" w:rsidP="00B13D3B">
            <w:pPr>
              <w:pStyle w:val="VCAAtablecondensedheading"/>
            </w:pPr>
            <w:r>
              <w:t>Unit 2</w:t>
            </w:r>
          </w:p>
        </w:tc>
      </w:tr>
      <w:tr w:rsidR="008E42BD" w14:paraId="5BE52DCE" w14:textId="77777777" w:rsidTr="008E42BD">
        <w:tc>
          <w:tcPr>
            <w:tcW w:w="4888" w:type="dxa"/>
          </w:tcPr>
          <w:p w14:paraId="077F5751" w14:textId="7A361C60" w:rsidR="008E42BD" w:rsidRDefault="008E42BD" w:rsidP="008E42BD">
            <w:pPr>
              <w:pStyle w:val="VCAAtablecondensed"/>
            </w:pPr>
            <w:r w:rsidRPr="002C3AA6">
              <w:rPr>
                <w:i/>
              </w:rPr>
              <w:t xml:space="preserve">Computation and practical arithmetic </w:t>
            </w:r>
          </w:p>
        </w:tc>
        <w:tc>
          <w:tcPr>
            <w:tcW w:w="4888" w:type="dxa"/>
          </w:tcPr>
          <w:p w14:paraId="3B457234" w14:textId="4C05B03E" w:rsidR="008E42BD" w:rsidRDefault="008E42BD" w:rsidP="008E42BD">
            <w:pPr>
              <w:pStyle w:val="VCAAtablecondensed"/>
            </w:pPr>
            <w:r w:rsidRPr="002C3AA6">
              <w:rPr>
                <w:i/>
              </w:rPr>
              <w:t>Linear relations and equations</w:t>
            </w:r>
          </w:p>
        </w:tc>
      </w:tr>
      <w:tr w:rsidR="008E42BD" w14:paraId="640AD4AD" w14:textId="77777777" w:rsidTr="008E42BD">
        <w:tc>
          <w:tcPr>
            <w:tcW w:w="4888" w:type="dxa"/>
          </w:tcPr>
          <w:p w14:paraId="5E62B865" w14:textId="7FE75271" w:rsidR="008E42BD" w:rsidRDefault="008E42BD" w:rsidP="008E42BD">
            <w:pPr>
              <w:pStyle w:val="VCAAtablecondensed"/>
            </w:pPr>
            <w:r w:rsidRPr="002C3AA6">
              <w:rPr>
                <w:i/>
              </w:rPr>
              <w:t>Investigating and comparing data distributions</w:t>
            </w:r>
          </w:p>
        </w:tc>
        <w:tc>
          <w:tcPr>
            <w:tcW w:w="4888" w:type="dxa"/>
          </w:tcPr>
          <w:p w14:paraId="0C48E877" w14:textId="6852BA26" w:rsidR="008E42BD" w:rsidRDefault="008E42BD" w:rsidP="008E42BD">
            <w:pPr>
              <w:pStyle w:val="VCAAtablecondensed"/>
            </w:pPr>
            <w:r w:rsidRPr="002C3AA6">
              <w:rPr>
                <w:i/>
              </w:rPr>
              <w:t>Investigation relationships between two numerical variables</w:t>
            </w:r>
          </w:p>
        </w:tc>
      </w:tr>
      <w:tr w:rsidR="008E42BD" w14:paraId="39D8D28F" w14:textId="77777777" w:rsidTr="008E42BD">
        <w:tc>
          <w:tcPr>
            <w:tcW w:w="4888" w:type="dxa"/>
          </w:tcPr>
          <w:p w14:paraId="6D6C51E1" w14:textId="7B4442CF" w:rsidR="008E42BD" w:rsidRDefault="008E42BD" w:rsidP="008E42BD">
            <w:pPr>
              <w:pStyle w:val="VCAAtablecondensed"/>
            </w:pPr>
            <w:r w:rsidRPr="002C3AA6">
              <w:rPr>
                <w:i/>
              </w:rPr>
              <w:t>Graphs and networks</w:t>
            </w:r>
          </w:p>
        </w:tc>
        <w:tc>
          <w:tcPr>
            <w:tcW w:w="4888" w:type="dxa"/>
          </w:tcPr>
          <w:p w14:paraId="6F8E1C19" w14:textId="04C40207" w:rsidR="008E42BD" w:rsidRDefault="008E42BD" w:rsidP="008E42BD">
            <w:pPr>
              <w:pStyle w:val="VCAAtablecondensed"/>
            </w:pPr>
            <w:r w:rsidRPr="002C3AA6">
              <w:rPr>
                <w:i/>
              </w:rPr>
              <w:t>Matrices</w:t>
            </w:r>
          </w:p>
        </w:tc>
      </w:tr>
      <w:tr w:rsidR="008E42BD" w14:paraId="1ADD3AC7" w14:textId="77777777" w:rsidTr="008E42BD">
        <w:tc>
          <w:tcPr>
            <w:tcW w:w="4888" w:type="dxa"/>
          </w:tcPr>
          <w:p w14:paraId="67C07AA2" w14:textId="1A2CD60B" w:rsidR="008E42BD" w:rsidRPr="008E42BD" w:rsidRDefault="008E42BD" w:rsidP="008E42BD">
            <w:pPr>
              <w:pStyle w:val="VCAAtablecondensed"/>
              <w:rPr>
                <w:i/>
              </w:rPr>
            </w:pPr>
            <w:r w:rsidRPr="008E42BD">
              <w:rPr>
                <w:i/>
              </w:rPr>
              <w:t>Linear graphs and models</w:t>
            </w:r>
          </w:p>
        </w:tc>
        <w:tc>
          <w:tcPr>
            <w:tcW w:w="4888" w:type="dxa"/>
          </w:tcPr>
          <w:p w14:paraId="12C93FA1" w14:textId="6366BB7D" w:rsidR="008E42BD" w:rsidRPr="008E42BD" w:rsidRDefault="008E42BD" w:rsidP="008E42BD">
            <w:pPr>
              <w:pStyle w:val="VCAAtablecondensed"/>
              <w:rPr>
                <w:i/>
              </w:rPr>
            </w:pPr>
            <w:r w:rsidRPr="008E42BD">
              <w:rPr>
                <w:i/>
              </w:rPr>
              <w:t>Number patterns and recursion (omit the Fibonacci sequence)</w:t>
            </w:r>
          </w:p>
        </w:tc>
      </w:tr>
    </w:tbl>
    <w:p w14:paraId="41CE9DB6" w14:textId="77777777" w:rsidR="008E42BD" w:rsidRPr="0059051F" w:rsidRDefault="008E42BD" w:rsidP="008E42BD">
      <w:pPr>
        <w:pStyle w:val="VCAAHeading3"/>
      </w:pPr>
      <w:r>
        <w:t>Mathematical Methods</w:t>
      </w:r>
    </w:p>
    <w:p w14:paraId="2E852416" w14:textId="77777777" w:rsidR="008E42BD" w:rsidRDefault="008E42BD" w:rsidP="008E42BD">
      <w:pPr>
        <w:pStyle w:val="VCAAbody"/>
      </w:pPr>
      <w:r>
        <w:t>Implementation in 2022 of the current Mathematical Methods Units 1 and 2 will provide a suitable preparation for Mathematical Methods Units 3 and 4 in 2023, with the following minor adjustments:</w:t>
      </w:r>
    </w:p>
    <w:p w14:paraId="44C63915" w14:textId="77777777" w:rsidR="008E42BD" w:rsidRDefault="008E42BD" w:rsidP="008E42BD">
      <w:pPr>
        <w:pStyle w:val="VCAAbody"/>
      </w:pPr>
      <w:r>
        <w:t xml:space="preserve">Content that can be omitted from Unit 1: </w:t>
      </w:r>
    </w:p>
    <w:p w14:paraId="0388B359" w14:textId="77777777" w:rsidR="008E42BD" w:rsidRDefault="008E42BD" w:rsidP="008E42BD">
      <w:pPr>
        <w:pStyle w:val="VCAAbullet"/>
      </w:pPr>
      <w:r>
        <w:t>vertical line test to determine whether a relation is a function</w:t>
      </w:r>
    </w:p>
    <w:p w14:paraId="2E551335" w14:textId="77777777" w:rsidR="008E42BD" w:rsidRDefault="008E42BD" w:rsidP="008E42BD">
      <w:pPr>
        <w:pStyle w:val="VCAAbullet"/>
      </w:pPr>
      <w:r>
        <w:t>non-function relations</w:t>
      </w:r>
    </w:p>
    <w:p w14:paraId="10CEA2BC" w14:textId="6BB52453" w:rsidR="008E42BD" w:rsidRDefault="008E42BD" w:rsidP="008E42BD">
      <w:pPr>
        <w:pStyle w:val="VCAAbullet"/>
      </w:pPr>
      <w:r>
        <w:t>use of matrices for transformations</w:t>
      </w:r>
      <w:r w:rsidR="00D7331F">
        <w:t>.</w:t>
      </w:r>
    </w:p>
    <w:p w14:paraId="619A8462" w14:textId="77777777" w:rsidR="008E42BD" w:rsidRDefault="008E42BD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6245CEE7" w14:textId="5314D775" w:rsidR="008E42BD" w:rsidRDefault="008E42BD" w:rsidP="008E42BD">
      <w:pPr>
        <w:pStyle w:val="VCAAbody"/>
      </w:pPr>
      <w:r>
        <w:lastRenderedPageBreak/>
        <w:t xml:space="preserve">Content can be omitted from Unit 2: </w:t>
      </w:r>
    </w:p>
    <w:p w14:paraId="2B1F4E22" w14:textId="77777777" w:rsidR="008E42BD" w:rsidRDefault="008E42BD" w:rsidP="008E42BD">
      <w:pPr>
        <w:pStyle w:val="VCAAbullet"/>
      </w:pPr>
      <w:r>
        <w:t>first principles differentiation of polynomial functions</w:t>
      </w:r>
    </w:p>
    <w:p w14:paraId="6B053C80" w14:textId="1F3F833C" w:rsidR="008E42BD" w:rsidRDefault="008E42BD" w:rsidP="008E42BD">
      <w:pPr>
        <w:pStyle w:val="VCAAbullet"/>
      </w:pPr>
      <w:r>
        <w:t>differentiation and anti-differentiation by rule of functions other than polynomial functions</w:t>
      </w:r>
      <w:r w:rsidR="00D7331F">
        <w:t>.</w:t>
      </w:r>
    </w:p>
    <w:p w14:paraId="42EEE5A6" w14:textId="3F63396D" w:rsidR="008E42BD" w:rsidRDefault="008E42BD" w:rsidP="008E42BD">
      <w:pPr>
        <w:pStyle w:val="VCAAbody"/>
        <w:spacing w:line="360" w:lineRule="auto"/>
      </w:pPr>
      <w:r>
        <w:t xml:space="preserve">Numerical approximation to the derivative </w:t>
      </w:r>
      <m:oMath>
        <m:r>
          <w:rPr>
            <w:rFonts w:ascii="Cambria Math" w:hAnsi="Cambria Math"/>
          </w:rPr>
          <m:t>f'</m:t>
        </m:r>
      </m:oMath>
      <w:r>
        <w:t xml:space="preserve"> of a function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should consider both the left secant gradient,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-f(x-h)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 xml:space="preserve">and the right secant gradient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x+h</m:t>
                </m:r>
              </m:e>
            </m:d>
            <m:r>
              <w:rPr>
                <w:rFonts w:ascii="Cambria Math" w:hAnsi="Cambria Math"/>
              </w:rPr>
              <m:t>-f(x)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 xml:space="preserve"> , </m:t>
        </m:r>
      </m:oMath>
      <w:r>
        <w:t xml:space="preserve">and their mean value, the central difference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x+h</m:t>
                </m:r>
              </m:e>
            </m:d>
            <m:r>
              <w:rPr>
                <w:rFonts w:ascii="Cambria Math" w:hAnsi="Cambria Math"/>
              </w:rPr>
              <m:t>-f(x-h)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eastAsiaTheme="minorEastAsia"/>
        </w:rPr>
        <w:t>.</w:t>
      </w:r>
    </w:p>
    <w:p w14:paraId="61ECE18D" w14:textId="77777777" w:rsidR="008E42BD" w:rsidRDefault="008E42BD" w:rsidP="008E42BD">
      <w:pPr>
        <w:pStyle w:val="VCAAHeading3"/>
      </w:pPr>
      <w:r>
        <w:t>Specialist</w:t>
      </w:r>
      <w:r w:rsidRPr="0059051F">
        <w:t xml:space="preserve"> Mathematics</w:t>
      </w:r>
    </w:p>
    <w:p w14:paraId="5795CCAA" w14:textId="77777777" w:rsidR="008E42BD" w:rsidRDefault="008E42BD" w:rsidP="008E42BD">
      <w:pPr>
        <w:pStyle w:val="VCAAbody"/>
        <w:spacing w:after="240"/>
      </w:pPr>
      <w:r>
        <w:t>Implementation in 2022 of the following selection of topics from the current Specialist Mathematics Units 1 and 2 in 2022 will provide a suitable preparation for Specialist Mathematics Units 3 and 4 in 2023. The unit and order of coverage can be varied as suits the teaching and learning context.</w:t>
      </w:r>
    </w:p>
    <w:tbl>
      <w:tblPr>
        <w:tblStyle w:val="VCAATableClosed"/>
        <w:tblW w:w="97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4888"/>
        <w:gridCol w:w="4888"/>
      </w:tblGrid>
      <w:tr w:rsidR="008E42BD" w:rsidRPr="00B13D3B" w14:paraId="4F3BCD49" w14:textId="77777777" w:rsidTr="008E4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8" w:type="dxa"/>
          </w:tcPr>
          <w:p w14:paraId="3D001631" w14:textId="77777777" w:rsidR="008E42BD" w:rsidRPr="00B13D3B" w:rsidRDefault="008E42BD" w:rsidP="008E42BD">
            <w:pPr>
              <w:pStyle w:val="VCAAtablecondensedheading"/>
            </w:pPr>
            <w:r>
              <w:t>Unit 1</w:t>
            </w:r>
            <w:r w:rsidRPr="00B13D3B">
              <w:t xml:space="preserve"> </w:t>
            </w:r>
          </w:p>
        </w:tc>
        <w:tc>
          <w:tcPr>
            <w:tcW w:w="4888" w:type="dxa"/>
          </w:tcPr>
          <w:p w14:paraId="47602A19" w14:textId="77777777" w:rsidR="008E42BD" w:rsidRPr="00B13D3B" w:rsidRDefault="008E42BD" w:rsidP="008E42BD">
            <w:pPr>
              <w:pStyle w:val="VCAAtablecondensedheading"/>
            </w:pPr>
            <w:r>
              <w:t>Unit 2</w:t>
            </w:r>
          </w:p>
        </w:tc>
      </w:tr>
      <w:tr w:rsidR="008E42BD" w14:paraId="4DA3DD4E" w14:textId="77777777" w:rsidTr="008E42BD">
        <w:tc>
          <w:tcPr>
            <w:tcW w:w="4888" w:type="dxa"/>
          </w:tcPr>
          <w:p w14:paraId="443F38F2" w14:textId="38C30A3F" w:rsidR="008E42BD" w:rsidRDefault="008E42BD" w:rsidP="008E42BD">
            <w:pPr>
              <w:pStyle w:val="VCAAtablecondensed"/>
            </w:pPr>
            <w:r>
              <w:rPr>
                <w:i/>
              </w:rPr>
              <w:t>Number systems and recursion</w:t>
            </w:r>
          </w:p>
        </w:tc>
        <w:tc>
          <w:tcPr>
            <w:tcW w:w="4888" w:type="dxa"/>
          </w:tcPr>
          <w:p w14:paraId="48786412" w14:textId="472428D8" w:rsidR="008E42BD" w:rsidRDefault="008E42BD" w:rsidP="008E42BD">
            <w:pPr>
              <w:pStyle w:val="VCAAtablecondensed"/>
            </w:pPr>
            <w:r>
              <w:rPr>
                <w:i/>
              </w:rPr>
              <w:t>Simulation, sampling and sampling distributions</w:t>
            </w:r>
          </w:p>
        </w:tc>
      </w:tr>
      <w:tr w:rsidR="008E42BD" w14:paraId="56668D2E" w14:textId="77777777" w:rsidTr="008E42BD">
        <w:tc>
          <w:tcPr>
            <w:tcW w:w="4888" w:type="dxa"/>
          </w:tcPr>
          <w:p w14:paraId="226DE037" w14:textId="67F08689" w:rsidR="008E42BD" w:rsidRDefault="008E42BD" w:rsidP="008E42BD">
            <w:pPr>
              <w:pStyle w:val="VCAAtablecondensed"/>
            </w:pPr>
            <w:r>
              <w:rPr>
                <w:i/>
              </w:rPr>
              <w:t>Graphs of non-linear relations</w:t>
            </w:r>
          </w:p>
        </w:tc>
        <w:tc>
          <w:tcPr>
            <w:tcW w:w="4888" w:type="dxa"/>
          </w:tcPr>
          <w:p w14:paraId="6C3F6084" w14:textId="14437BE8" w:rsidR="008E42BD" w:rsidRDefault="008E42BD" w:rsidP="008E42BD">
            <w:pPr>
              <w:pStyle w:val="VCAAtablecondensed"/>
            </w:pPr>
            <w:r>
              <w:rPr>
                <w:i/>
              </w:rPr>
              <w:t>Graph theory</w:t>
            </w:r>
          </w:p>
        </w:tc>
      </w:tr>
      <w:tr w:rsidR="008E42BD" w14:paraId="7D7B6546" w14:textId="77777777" w:rsidTr="008E42BD">
        <w:tc>
          <w:tcPr>
            <w:tcW w:w="4888" w:type="dxa"/>
          </w:tcPr>
          <w:p w14:paraId="374306D6" w14:textId="5DAF1E1D" w:rsidR="008E42BD" w:rsidRDefault="008E42BD" w:rsidP="008E42BD">
            <w:pPr>
              <w:pStyle w:val="VCAAtablecondensed"/>
            </w:pPr>
            <w:r>
              <w:rPr>
                <w:i/>
              </w:rPr>
              <w:t>Logic and algebra</w:t>
            </w:r>
          </w:p>
        </w:tc>
        <w:tc>
          <w:tcPr>
            <w:tcW w:w="4888" w:type="dxa"/>
          </w:tcPr>
          <w:p w14:paraId="216A1384" w14:textId="3A228D40" w:rsidR="008E42BD" w:rsidRDefault="008E42BD" w:rsidP="008E42BD">
            <w:pPr>
              <w:pStyle w:val="VCAAtablecondensed"/>
            </w:pPr>
            <w:r>
              <w:rPr>
                <w:i/>
              </w:rPr>
              <w:t>Vectors</w:t>
            </w:r>
          </w:p>
        </w:tc>
      </w:tr>
      <w:tr w:rsidR="008E42BD" w14:paraId="7479FF74" w14:textId="77777777" w:rsidTr="008E42BD">
        <w:tc>
          <w:tcPr>
            <w:tcW w:w="4888" w:type="dxa"/>
          </w:tcPr>
          <w:p w14:paraId="01E922B9" w14:textId="0026785B" w:rsidR="008E42BD" w:rsidRPr="008E42BD" w:rsidRDefault="008E42BD" w:rsidP="008E42BD">
            <w:pPr>
              <w:pStyle w:val="VCAAtablecondensed"/>
              <w:rPr>
                <w:i/>
              </w:rPr>
            </w:pPr>
            <w:r>
              <w:rPr>
                <w:i/>
              </w:rPr>
              <w:t>Geometry in the plane and proof</w:t>
            </w:r>
          </w:p>
        </w:tc>
        <w:tc>
          <w:tcPr>
            <w:tcW w:w="4888" w:type="dxa"/>
          </w:tcPr>
          <w:p w14:paraId="67E5C316" w14:textId="67DE5F7A" w:rsidR="008E42BD" w:rsidRPr="008E42BD" w:rsidRDefault="008E42BD" w:rsidP="008E42BD">
            <w:pPr>
              <w:pStyle w:val="VCAAtablecondensed"/>
              <w:rPr>
                <w:i/>
              </w:rPr>
            </w:pPr>
            <w:r>
              <w:rPr>
                <w:i/>
              </w:rPr>
              <w:t>Transformations, trigonometry and matrices</w:t>
            </w:r>
          </w:p>
        </w:tc>
      </w:tr>
    </w:tbl>
    <w:p w14:paraId="32861356" w14:textId="77777777" w:rsidR="008E42BD" w:rsidRDefault="008E42BD" w:rsidP="008E42BD">
      <w:pPr>
        <w:pStyle w:val="VCAAbody"/>
      </w:pPr>
      <w:r w:rsidRPr="00057E39">
        <w:t xml:space="preserve">The </w:t>
      </w:r>
      <w:r>
        <w:t>content:</w:t>
      </w:r>
    </w:p>
    <w:p w14:paraId="5CA09219" w14:textId="77777777" w:rsidR="008E42BD" w:rsidRDefault="008E42BD" w:rsidP="008E42BD">
      <w:pPr>
        <w:pStyle w:val="VCAAbullet"/>
      </w:pPr>
      <w:r>
        <w:t>polar form and graphs of other relations in the plane such as limacons, cardioids, roses, lemniscates and spirals</w:t>
      </w:r>
    </w:p>
    <w:p w14:paraId="1711AA57" w14:textId="77777777" w:rsidR="008E42BD" w:rsidRDefault="008E42BD" w:rsidP="008E42BD">
      <w:pPr>
        <w:pStyle w:val="VCAAbullet"/>
      </w:pPr>
      <w:r>
        <w:t>parametric form and graphs of other relations in the plane such as spirals, cycloids, lissajous figures and epicycles</w:t>
      </w:r>
    </w:p>
    <w:p w14:paraId="1BC09C9B" w14:textId="77777777" w:rsidR="008E42BD" w:rsidRDefault="008E42BD" w:rsidP="008E42BD">
      <w:pPr>
        <w:pStyle w:val="VCAAbody"/>
      </w:pPr>
      <w:r>
        <w:t xml:space="preserve">can be omitted from the </w:t>
      </w:r>
      <w:r w:rsidRPr="00057E39">
        <w:t>topic</w:t>
      </w:r>
      <w:r w:rsidRPr="00057E39">
        <w:rPr>
          <w:sz w:val="24"/>
          <w:szCs w:val="24"/>
        </w:rPr>
        <w:t xml:space="preserve"> </w:t>
      </w:r>
      <w:r>
        <w:rPr>
          <w:i/>
        </w:rPr>
        <w:t>Graphs of non-linear relations</w:t>
      </w:r>
      <w:r>
        <w:t xml:space="preserve"> and replaced with the content:</w:t>
      </w:r>
    </w:p>
    <w:p w14:paraId="4744A759" w14:textId="70FACB77" w:rsidR="008E42BD" w:rsidRPr="000B20F6" w:rsidRDefault="008E42BD" w:rsidP="008E42BD">
      <w:pPr>
        <w:pStyle w:val="VCAAbullet"/>
        <w:rPr>
          <w:rFonts w:eastAsiaTheme="minorHAnsi"/>
        </w:rPr>
      </w:pPr>
      <w:r w:rsidRPr="000B20F6">
        <w:rPr>
          <w:rFonts w:eastAsiaTheme="minorHAnsi"/>
        </w:rPr>
        <w:t>graphs of the restricted circular functions of sine, cosine and tangent over principal domains and their respective inverse functions sin</w:t>
      </w:r>
      <w:r w:rsidRPr="000B20F6">
        <w:rPr>
          <w:rFonts w:eastAsiaTheme="minorHAnsi"/>
          <w:vertAlign w:val="superscript"/>
        </w:rPr>
        <w:t>–1</w:t>
      </w:r>
      <w:r w:rsidRPr="000B20F6">
        <w:rPr>
          <w:rFonts w:eastAsiaTheme="minorHAnsi"/>
        </w:rPr>
        <w:t>, cos</w:t>
      </w:r>
      <w:r w:rsidRPr="000B20F6">
        <w:rPr>
          <w:rFonts w:eastAsiaTheme="minorHAnsi"/>
          <w:vertAlign w:val="superscript"/>
        </w:rPr>
        <w:t>-1</w:t>
      </w:r>
      <w:r w:rsidRPr="000B20F6">
        <w:rPr>
          <w:rFonts w:eastAsiaTheme="minorHAnsi"/>
        </w:rPr>
        <w:t xml:space="preserve"> and tan</w:t>
      </w:r>
      <w:r w:rsidRPr="000B20F6">
        <w:rPr>
          <w:rFonts w:eastAsiaTheme="minorHAnsi"/>
          <w:vertAlign w:val="superscript"/>
        </w:rPr>
        <w:t>–1</w:t>
      </w:r>
      <w:r w:rsidRPr="000B20F6">
        <w:rPr>
          <w:rFonts w:eastAsiaTheme="minorHAnsi"/>
        </w:rPr>
        <w:t xml:space="preserve"> (students should be familiar with alternative notations, arcsin, arccos and arctan) and simple transformations of these graphs</w:t>
      </w:r>
      <w:r w:rsidR="00D7331F">
        <w:rPr>
          <w:rFonts w:eastAsiaTheme="minorHAnsi"/>
        </w:rPr>
        <w:t>.</w:t>
      </w:r>
    </w:p>
    <w:p w14:paraId="34249ED0" w14:textId="77777777" w:rsidR="00F4525C" w:rsidRPr="008E42BD" w:rsidRDefault="00F4525C" w:rsidP="005D3D78">
      <w:pPr>
        <w:rPr>
          <w:lang w:val="en-AU"/>
        </w:rPr>
      </w:pPr>
    </w:p>
    <w:sectPr w:rsidR="00F4525C" w:rsidRPr="008E42BD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E42BD" w:rsidRDefault="008E42B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E42BD" w:rsidRDefault="008E42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E42B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C54DCE3" w:rsidR="008E42BD" w:rsidRPr="00D06414" w:rsidRDefault="008E42B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8E42BD" w:rsidRPr="00D06414" w:rsidRDefault="008E42B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73A7C0E" w:rsidR="008E42BD" w:rsidRPr="00D06414" w:rsidRDefault="008E42B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2292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E42BD" w:rsidRPr="00D06414" w:rsidRDefault="008E42B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E42B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0F3C1023" w:rsidR="008E42BD" w:rsidRPr="00D06414" w:rsidRDefault="008E42B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E42BD" w:rsidRPr="00D06414" w:rsidRDefault="008E42B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E42BD" w:rsidRPr="00D06414" w:rsidRDefault="008E42B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E42BD" w:rsidRPr="00D06414" w:rsidRDefault="008E42B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E42BD" w:rsidRDefault="008E42B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E42BD" w:rsidRDefault="008E42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EE56460" w:rsidR="008E42BD" w:rsidRPr="00D86DE4" w:rsidRDefault="00B2292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42BD">
          <w:rPr>
            <w:color w:val="999999" w:themeColor="accent2"/>
          </w:rPr>
          <w:t>VCE Mathematics</w:t>
        </w:r>
      </w:sdtContent>
    </w:sdt>
    <w:r w:rsidR="008E42BD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E42BD" w:rsidRPr="009370BC" w:rsidRDefault="008E42BD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175"/>
    <w:multiLevelType w:val="hybridMultilevel"/>
    <w:tmpl w:val="740EAFA8"/>
    <w:lvl w:ilvl="0" w:tplc="63CC06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67420"/>
    <w:multiLevelType w:val="hybridMultilevel"/>
    <w:tmpl w:val="F54C29A4"/>
    <w:lvl w:ilvl="0" w:tplc="E6086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8C72DCA"/>
    <w:multiLevelType w:val="hybridMultilevel"/>
    <w:tmpl w:val="FBD4B63C"/>
    <w:lvl w:ilvl="0" w:tplc="BBE0036E">
      <w:start w:val="1"/>
      <w:numFmt w:val="bullet"/>
      <w:pStyle w:val="VCAA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8E42BD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2928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7F93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331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E42BD"/>
    <w:pPr>
      <w:numPr>
        <w:numId w:val="8"/>
      </w:numPr>
      <w:spacing w:before="60" w:after="60"/>
      <w:ind w:left="426" w:right="-142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E42BD"/>
    <w:pPr>
      <w:spacing w:after="160" w:line="259" w:lineRule="auto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  <w:rsid w:val="00D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FFB1B-D627-4FFA-A89C-4085EC4984C7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685BA-AF69-4785-A80F-704817D5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Mathematics</vt:lpstr>
    </vt:vector>
  </TitlesOfParts>
  <Manager/>
  <Company>Victorian Curriculum and Assessment Authority</Company>
  <LinksUpToDate>false</LinksUpToDate>
  <CharactersWithSpaces>3717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Mathematics</dc:title>
  <dc:subject>VCE Mathematics</dc:subject>
  <dc:creator>Victorian Curriculum and Assessment Authority (VCAA)</dc:creator>
  <cp:keywords>mathematics, foundation, general, methods, specialist</cp:keywords>
  <cp:lastModifiedBy>Julie Coleman</cp:lastModifiedBy>
  <cp:revision>4</cp:revision>
  <cp:lastPrinted>2015-05-15T02:36:00Z</cp:lastPrinted>
  <dcterms:created xsi:type="dcterms:W3CDTF">2021-10-26T23:38:00Z</dcterms:created>
  <dcterms:modified xsi:type="dcterms:W3CDTF">2021-11-02T21:48:00Z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