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D059653"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7D10B0">
        <w:t>3</w:t>
      </w:r>
    </w:p>
    <w:p w14:paraId="514C791E" w14:textId="215996E6" w:rsidR="007D10B0" w:rsidRPr="00BA3888" w:rsidRDefault="007D10B0" w:rsidP="00FC55B3">
      <w:pPr>
        <w:pStyle w:val="VCAAHeading2"/>
        <w:spacing w:line="276" w:lineRule="auto"/>
        <w:ind w:right="-142"/>
      </w:pPr>
      <w:bookmarkStart w:id="0" w:name="TemplateOverview"/>
      <w:bookmarkEnd w:id="0"/>
      <w:r>
        <w:t xml:space="preserve">Area of </w:t>
      </w:r>
      <w:r>
        <w:t>S</w:t>
      </w:r>
      <w:r>
        <w:t xml:space="preserve">tudy 1 sample application task: Data analysis </w:t>
      </w:r>
      <w:r w:rsidR="00FC55B3">
        <w:br/>
      </w:r>
      <w:r w:rsidR="0027480E">
        <w:t>Exchange rates</w:t>
      </w:r>
    </w:p>
    <w:p w14:paraId="7DCF5959" w14:textId="77777777" w:rsidR="007D10B0" w:rsidRPr="00B70D13" w:rsidRDefault="007D10B0" w:rsidP="007D10B0">
      <w:pPr>
        <w:pStyle w:val="VCAAbody"/>
        <w:rPr>
          <w:b/>
        </w:rPr>
      </w:pPr>
      <w:r w:rsidRPr="00B70D13">
        <w:t>The application task is to be of 4–6 hours</w:t>
      </w:r>
      <w:r>
        <w:t>’</w:t>
      </w:r>
      <w:r w:rsidRPr="00B70D13">
        <w:t xml:space="preserve"> duration over a period of 1–2 weeks.</w:t>
      </w:r>
    </w:p>
    <w:p w14:paraId="22475766" w14:textId="68D4FA99" w:rsidR="009A7406" w:rsidRPr="000C4199" w:rsidRDefault="007D10B0" w:rsidP="009A7406">
      <w:pPr>
        <w:pStyle w:val="VCAAHeading3"/>
        <w:rPr>
          <w:lang w:val="en-AU"/>
        </w:rPr>
      </w:pPr>
      <w:r>
        <w:rPr>
          <w:lang w:val="en-AU"/>
        </w:rPr>
        <w:t>Introduction</w:t>
      </w:r>
    </w:p>
    <w:p w14:paraId="28509CE4" w14:textId="77777777" w:rsidR="001529AD" w:rsidRDefault="001529AD" w:rsidP="001529AD">
      <w:pPr>
        <w:pStyle w:val="VCAAbody"/>
      </w:pPr>
      <w:r>
        <w:t xml:space="preserve">Exchange rates are an important financial and economic measure, and are relevant for business activity and personal travel between countries, such as on a holiday. </w:t>
      </w:r>
      <w:hyperlink r:id="rId11" w:history="1">
        <w:r w:rsidRPr="004638F4">
          <w:rPr>
            <w:rStyle w:val="Hyperlink"/>
          </w:rPr>
          <w:t>Exchange rate calculators</w:t>
        </w:r>
      </w:hyperlink>
      <w:r>
        <w:t xml:space="preserve"> are commonly used for day-to-day conversions.</w:t>
      </w:r>
    </w:p>
    <w:p w14:paraId="379FAEF2" w14:textId="77777777" w:rsidR="001529AD" w:rsidRDefault="001529AD" w:rsidP="001529AD">
      <w:pPr>
        <w:pStyle w:val="VCAAbody"/>
        <w:spacing w:after="360"/>
      </w:pPr>
      <w:r>
        <w:t>The following investigation looks at how exchange rates between the Australian dollar and several other currencies of interest have varied over time, and the process of establishing suitable mathematical models for some of the corresponding exchange rates trends.</w:t>
      </w:r>
    </w:p>
    <w:p w14:paraId="25E5FEA7" w14:textId="5166F39C" w:rsidR="001529AD" w:rsidRDefault="001529AD" w:rsidP="001529AD">
      <w:pPr>
        <w:jc w:val="center"/>
      </w:pPr>
      <w:r w:rsidRPr="0089353D">
        <w:rPr>
          <w:rFonts w:cs="Arial"/>
          <w:noProof/>
        </w:rPr>
        <w:drawing>
          <wp:inline distT="0" distB="0" distL="0" distR="0" wp14:anchorId="26BFD4BA" wp14:editId="163A3098">
            <wp:extent cx="4038600" cy="3295650"/>
            <wp:effectExtent l="0" t="0" r="0" b="0"/>
            <wp:docPr id="1" name="Picture 1" descr="IMAG052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IMAG0522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0" cy="3295650"/>
                    </a:xfrm>
                    <a:prstGeom prst="rect">
                      <a:avLst/>
                    </a:prstGeom>
                    <a:noFill/>
                    <a:ln>
                      <a:noFill/>
                    </a:ln>
                  </pic:spPr>
                </pic:pic>
              </a:graphicData>
            </a:graphic>
          </wp:inline>
        </w:drawing>
      </w:r>
    </w:p>
    <w:p w14:paraId="03671248" w14:textId="77777777" w:rsidR="001529AD" w:rsidRDefault="001529AD" w:rsidP="001529AD">
      <w:pPr>
        <w:autoSpaceDE w:val="0"/>
        <w:autoSpaceDN w:val="0"/>
        <w:adjustRightInd w:val="0"/>
        <w:spacing w:after="0"/>
        <w:rPr>
          <w:rFonts w:cs="Arial"/>
        </w:rPr>
      </w:pPr>
    </w:p>
    <w:p w14:paraId="2434FDD2" w14:textId="171959FA" w:rsidR="001529AD" w:rsidRDefault="001529AD" w:rsidP="001529AD">
      <w:pPr>
        <w:pStyle w:val="VCAAbody"/>
      </w:pPr>
      <w:r>
        <w:t xml:space="preserve">As part of this task, several data sets of historical exchange rates for countries of interest should be obtained, for example: </w:t>
      </w:r>
      <w:hyperlink r:id="rId13" w:history="1">
        <w:r w:rsidRPr="004638F4">
          <w:rPr>
            <w:rStyle w:val="Hyperlink"/>
          </w:rPr>
          <w:t>RBA Exchange rates</w:t>
        </w:r>
      </w:hyperlink>
      <w:r>
        <w:t xml:space="preserve"> and </w:t>
      </w:r>
      <w:hyperlink r:id="rId14" w:history="1">
        <w:r w:rsidRPr="004638F4">
          <w:rPr>
            <w:rStyle w:val="Hyperlink"/>
          </w:rPr>
          <w:t>RBA statistics</w:t>
        </w:r>
      </w:hyperlink>
      <w:r>
        <w:t xml:space="preserve">. </w:t>
      </w:r>
    </w:p>
    <w:p w14:paraId="429D8CA2" w14:textId="77777777" w:rsidR="001529AD" w:rsidRDefault="001529AD">
      <w:pPr>
        <w:rPr>
          <w:rFonts w:ascii="Arial" w:hAnsi="Arial" w:cs="Arial"/>
          <w:color w:val="000000" w:themeColor="text1"/>
          <w:sz w:val="20"/>
        </w:rPr>
      </w:pPr>
      <w:r>
        <w:br w:type="page"/>
      </w:r>
    </w:p>
    <w:p w14:paraId="099F4EC6" w14:textId="77777777" w:rsidR="001529AD" w:rsidRDefault="001529AD" w:rsidP="001529AD">
      <w:pPr>
        <w:pStyle w:val="VCAAHeading4"/>
        <w:spacing w:line="276" w:lineRule="auto"/>
      </w:pPr>
      <w:r w:rsidRPr="00BA3888">
        <w:lastRenderedPageBreak/>
        <w:t xml:space="preserve">Component 1 </w:t>
      </w:r>
    </w:p>
    <w:p w14:paraId="3F9DA9CB" w14:textId="77777777" w:rsidR="001529AD" w:rsidRDefault="001529AD" w:rsidP="001529AD">
      <w:pPr>
        <w:pStyle w:val="VCAAbody"/>
      </w:pPr>
      <w:r>
        <w:t>Select a currency for consideration, for example Hong Kong dollar, Euro, Pound, US dollar, Dirham, Yen or Renminbi.</w:t>
      </w:r>
    </w:p>
    <w:p w14:paraId="1E879C80" w14:textId="77777777" w:rsidR="001529AD" w:rsidRPr="00947CA7" w:rsidRDefault="001529AD" w:rsidP="001529AD">
      <w:pPr>
        <w:pStyle w:val="VCAAnumbers"/>
        <w:numPr>
          <w:ilvl w:val="0"/>
          <w:numId w:val="24"/>
        </w:numPr>
        <w:spacing w:before="120"/>
        <w:ind w:left="426" w:hanging="426"/>
        <w:rPr>
          <w:rFonts w:eastAsia="Calibri"/>
          <w:lang w:val="en-AU"/>
        </w:rPr>
      </w:pPr>
      <w:r w:rsidRPr="00947CA7">
        <w:rPr>
          <w:rFonts w:eastAsia="Calibri"/>
          <w:lang w:val="en-AU"/>
        </w:rPr>
        <w:t xml:space="preserve">Choose several consecutive years of exchange rate data with a randomly selected starting point, for example a particular month in a given year.  </w:t>
      </w:r>
    </w:p>
    <w:p w14:paraId="538BA67A" w14:textId="77777777" w:rsidR="001529AD" w:rsidRPr="00947CA7" w:rsidRDefault="001529AD" w:rsidP="001529AD">
      <w:pPr>
        <w:pStyle w:val="VCAAnumbers"/>
        <w:numPr>
          <w:ilvl w:val="0"/>
          <w:numId w:val="24"/>
        </w:numPr>
        <w:spacing w:before="120"/>
        <w:ind w:left="426" w:hanging="426"/>
        <w:rPr>
          <w:rFonts w:eastAsia="Calibri"/>
          <w:lang w:val="en-AU"/>
        </w:rPr>
      </w:pPr>
      <w:r w:rsidRPr="00947CA7">
        <w:rPr>
          <w:rFonts w:eastAsia="Calibri"/>
          <w:lang w:val="en-AU"/>
        </w:rPr>
        <w:t>Using appropriate univariate analysis techniques</w:t>
      </w:r>
      <w:r>
        <w:rPr>
          <w:rFonts w:eastAsia="Calibri"/>
          <w:lang w:val="en-AU"/>
        </w:rPr>
        <w:t>,</w:t>
      </w:r>
      <w:r w:rsidRPr="00947CA7">
        <w:rPr>
          <w:rFonts w:eastAsia="Calibri"/>
          <w:lang w:val="en-AU"/>
        </w:rPr>
        <w:t xml:space="preserve"> summarise and describe the distribution of the exchange rate in your sample.</w:t>
      </w:r>
    </w:p>
    <w:p w14:paraId="2F7E7734" w14:textId="77777777" w:rsidR="001529AD" w:rsidRPr="00947CA7" w:rsidRDefault="001529AD" w:rsidP="001529AD">
      <w:pPr>
        <w:pStyle w:val="VCAAnumbers"/>
        <w:numPr>
          <w:ilvl w:val="0"/>
          <w:numId w:val="24"/>
        </w:numPr>
        <w:spacing w:before="120"/>
        <w:ind w:left="426" w:hanging="426"/>
        <w:rPr>
          <w:rFonts w:eastAsia="Calibri"/>
          <w:lang w:val="en-AU"/>
        </w:rPr>
      </w:pPr>
      <w:r w:rsidRPr="00947CA7">
        <w:rPr>
          <w:rFonts w:eastAsia="Calibri"/>
          <w:lang w:val="en-AU"/>
        </w:rPr>
        <w:t>For your selected period, plot the exchange rate against time and discuss</w:t>
      </w:r>
      <w:r>
        <w:rPr>
          <w:rFonts w:eastAsia="Calibri"/>
          <w:lang w:val="en-AU"/>
        </w:rPr>
        <w:t xml:space="preserve"> the</w:t>
      </w:r>
      <w:r w:rsidRPr="00947CA7">
        <w:rPr>
          <w:rFonts w:eastAsia="Calibri"/>
          <w:lang w:val="en-AU"/>
        </w:rPr>
        <w:t xml:space="preserve"> relationship shown.</w:t>
      </w:r>
    </w:p>
    <w:p w14:paraId="21AFDA69" w14:textId="77777777" w:rsidR="001529AD" w:rsidRDefault="001529AD" w:rsidP="001529AD">
      <w:pPr>
        <w:pStyle w:val="VCAAHeading4"/>
        <w:spacing w:line="276" w:lineRule="auto"/>
      </w:pPr>
      <w:r w:rsidRPr="00BA3888">
        <w:t>Component 2</w:t>
      </w:r>
    </w:p>
    <w:p w14:paraId="725AC3C9" w14:textId="77777777" w:rsidR="001529AD" w:rsidRPr="00947CA7" w:rsidRDefault="001529AD" w:rsidP="001529AD">
      <w:pPr>
        <w:pStyle w:val="VCAAbody"/>
        <w:rPr>
          <w:rFonts w:eastAsia="Times New Roman"/>
        </w:rPr>
      </w:pPr>
      <w:r>
        <w:t>Select a different currency for consideration and carry out analysis to construct a linear regression model.</w:t>
      </w:r>
    </w:p>
    <w:p w14:paraId="1F15E777" w14:textId="77777777" w:rsidR="001529AD" w:rsidRPr="00947CA7" w:rsidRDefault="001529AD" w:rsidP="001529AD">
      <w:pPr>
        <w:pStyle w:val="VCAAnumbers"/>
        <w:numPr>
          <w:ilvl w:val="0"/>
          <w:numId w:val="23"/>
        </w:numPr>
        <w:spacing w:before="120"/>
        <w:ind w:left="426" w:hanging="426"/>
        <w:rPr>
          <w:rFonts w:eastAsia="Calibri"/>
          <w:lang w:val="en-AU"/>
        </w:rPr>
      </w:pPr>
      <w:r w:rsidRPr="00947CA7">
        <w:rPr>
          <w:rFonts w:eastAsia="Calibri"/>
          <w:lang w:val="en-AU"/>
        </w:rPr>
        <w:t>Draw a scatterplot of the data, determine the equation of the regression line, interpret the summary regression statistics in context, and draw the regression line on the scatt</w:t>
      </w:r>
      <w:r>
        <w:rPr>
          <w:rFonts w:eastAsia="Calibri"/>
          <w:lang w:val="en-AU"/>
        </w:rPr>
        <w:t>erplot.</w:t>
      </w:r>
    </w:p>
    <w:p w14:paraId="265D7402" w14:textId="77777777" w:rsidR="001529AD" w:rsidRPr="00947CA7" w:rsidRDefault="001529AD" w:rsidP="001529AD">
      <w:pPr>
        <w:pStyle w:val="VCAAnumbers"/>
        <w:numPr>
          <w:ilvl w:val="0"/>
          <w:numId w:val="23"/>
        </w:numPr>
        <w:spacing w:before="120"/>
        <w:ind w:left="426" w:hanging="426"/>
        <w:rPr>
          <w:rFonts w:eastAsia="Calibri"/>
          <w:lang w:val="en-AU"/>
        </w:rPr>
      </w:pPr>
      <w:r w:rsidRPr="00947CA7">
        <w:rPr>
          <w:rFonts w:eastAsia="Calibri"/>
          <w:lang w:val="en-AU"/>
        </w:rPr>
        <w:t xml:space="preserve">Carry out a residual analysis, including a residual plot, based on your regression line and comment whether the linear model is suitable. Based on your analysis of residuals and the scatterplot, apply transformations to either of the variables (either exchange rate or time). </w:t>
      </w:r>
      <w:r>
        <w:rPr>
          <w:rFonts w:eastAsia="Calibri"/>
          <w:lang w:val="en-AU"/>
        </w:rPr>
        <w:t>Use</w:t>
      </w:r>
      <w:r w:rsidRPr="00947CA7">
        <w:rPr>
          <w:rFonts w:eastAsia="Calibri"/>
          <w:lang w:val="en-AU"/>
        </w:rPr>
        <w:t xml:space="preserve"> residual plots and the coefficient of determination to determine a suitable model for this exchange rate.</w:t>
      </w:r>
    </w:p>
    <w:p w14:paraId="6A3837E8" w14:textId="77777777" w:rsidR="001529AD" w:rsidRPr="00947CA7" w:rsidRDefault="001529AD" w:rsidP="001529AD">
      <w:pPr>
        <w:pStyle w:val="VCAAnumbers"/>
        <w:numPr>
          <w:ilvl w:val="0"/>
          <w:numId w:val="23"/>
        </w:numPr>
        <w:spacing w:before="120"/>
        <w:ind w:left="426" w:hanging="426"/>
        <w:rPr>
          <w:rFonts w:eastAsia="Calibri"/>
          <w:lang w:val="en-AU"/>
        </w:rPr>
      </w:pPr>
      <w:r w:rsidRPr="00947CA7">
        <w:rPr>
          <w:rFonts w:eastAsia="Calibri"/>
          <w:lang w:val="en-AU"/>
        </w:rPr>
        <w:t>Use your preferred model to predict the exchange rate both one month and one year beyond your sample. Compare the predictions with the real data, using percentage error to determine the accuracy of your predictions.</w:t>
      </w:r>
    </w:p>
    <w:p w14:paraId="09C5AE8E" w14:textId="77777777" w:rsidR="001529AD" w:rsidRDefault="001529AD" w:rsidP="001529AD">
      <w:pPr>
        <w:pStyle w:val="VCAAHeading4"/>
        <w:spacing w:line="276" w:lineRule="auto"/>
      </w:pPr>
      <w:r w:rsidRPr="00BA3888">
        <w:t>Component 3</w:t>
      </w:r>
    </w:p>
    <w:p w14:paraId="7FC626F1" w14:textId="77777777" w:rsidR="001529AD" w:rsidRDefault="001529AD" w:rsidP="001529AD">
      <w:pPr>
        <w:pStyle w:val="VCAAbody"/>
      </w:pPr>
      <w:r>
        <w:t>Select several different currencies, and state the current exchange rate for each of these.</w:t>
      </w:r>
    </w:p>
    <w:p w14:paraId="6FD0F5F1" w14:textId="77777777" w:rsidR="001529AD" w:rsidRPr="00947CA7" w:rsidRDefault="001529AD" w:rsidP="001529AD">
      <w:pPr>
        <w:pStyle w:val="VCAAnumbers"/>
        <w:numPr>
          <w:ilvl w:val="0"/>
          <w:numId w:val="25"/>
        </w:numPr>
        <w:spacing w:before="120"/>
        <w:ind w:left="426" w:hanging="426"/>
        <w:rPr>
          <w:rFonts w:eastAsia="Calibri"/>
          <w:lang w:val="en-AU"/>
        </w:rPr>
      </w:pPr>
      <w:r w:rsidRPr="00947CA7">
        <w:rPr>
          <w:rFonts w:eastAsia="Calibri"/>
          <w:lang w:val="en-AU"/>
        </w:rPr>
        <w:t>Construct models for the corresponding exchange rates relative to the Australian dollar, over the same period of time of several years, and draw the corresponding scatterplots and regression functions on the same set of axes.</w:t>
      </w:r>
    </w:p>
    <w:p w14:paraId="3E780B46" w14:textId="77777777" w:rsidR="001529AD" w:rsidRPr="00947CA7" w:rsidRDefault="001529AD" w:rsidP="001529AD">
      <w:pPr>
        <w:pStyle w:val="VCAAnumbers"/>
        <w:numPr>
          <w:ilvl w:val="0"/>
          <w:numId w:val="25"/>
        </w:numPr>
        <w:spacing w:before="120"/>
        <w:ind w:left="426" w:hanging="426"/>
        <w:rPr>
          <w:rFonts w:eastAsia="Calibri"/>
          <w:lang w:val="en-AU"/>
        </w:rPr>
      </w:pPr>
      <w:r w:rsidRPr="00947CA7">
        <w:rPr>
          <w:rFonts w:eastAsia="Calibri"/>
          <w:lang w:val="en-AU"/>
        </w:rPr>
        <w:t>Comment on any similarities and differences in the exchange rate trend graphs.</w:t>
      </w:r>
    </w:p>
    <w:p w14:paraId="1E55457D" w14:textId="77777777" w:rsidR="001529AD" w:rsidRPr="00BA3888" w:rsidRDefault="001529AD" w:rsidP="001529AD">
      <w:pPr>
        <w:pStyle w:val="VCAAHeading3"/>
      </w:pPr>
      <w:r w:rsidRPr="00902368">
        <w:rPr>
          <w:sz w:val="28"/>
          <w:szCs w:val="28"/>
        </w:rPr>
        <w:t>Areas</w:t>
      </w:r>
      <w:r w:rsidRPr="00BA3888">
        <w:t xml:space="preserve"> of study</w:t>
      </w:r>
    </w:p>
    <w:p w14:paraId="485783B5" w14:textId="7232A622" w:rsidR="001529AD" w:rsidRDefault="001529AD" w:rsidP="001529AD">
      <w:pPr>
        <w:pStyle w:val="VCAAbody"/>
        <w:spacing w:line="276" w:lineRule="auto"/>
      </w:pPr>
      <w:r w:rsidRPr="00BA3888">
        <w:t>The following content from the areas of study is addressed through this task.</w:t>
      </w:r>
    </w:p>
    <w:tbl>
      <w:tblPr>
        <w:tblStyle w:val="TableGrid"/>
        <w:tblW w:w="0" w:type="auto"/>
        <w:tblLook w:val="04A0" w:firstRow="1" w:lastRow="0" w:firstColumn="1" w:lastColumn="0" w:noHBand="0" w:noVBand="1"/>
      </w:tblPr>
      <w:tblGrid>
        <w:gridCol w:w="3964"/>
        <w:gridCol w:w="2552"/>
        <w:gridCol w:w="2552"/>
      </w:tblGrid>
      <w:tr w:rsidR="001529AD" w:rsidRPr="00485F20" w14:paraId="4B974A9B" w14:textId="77777777" w:rsidTr="00E549AD">
        <w:tc>
          <w:tcPr>
            <w:tcW w:w="9068" w:type="dxa"/>
            <w:gridSpan w:val="3"/>
            <w:shd w:val="clear" w:color="auto" w:fill="0F7EB4"/>
            <w:vAlign w:val="center"/>
          </w:tcPr>
          <w:p w14:paraId="06B43D10" w14:textId="77777777" w:rsidR="001529AD" w:rsidRDefault="001529AD" w:rsidP="00E549AD">
            <w:pPr>
              <w:pStyle w:val="VCAAtablecondensedheading"/>
              <w:rPr>
                <w:b/>
                <w:bCs/>
              </w:rPr>
            </w:pPr>
            <w:r>
              <w:rPr>
                <w:b/>
                <w:bCs/>
              </w:rPr>
              <w:t>Unit 3</w:t>
            </w:r>
          </w:p>
        </w:tc>
      </w:tr>
      <w:tr w:rsidR="001529AD" w:rsidRPr="00485F20" w14:paraId="707A9511" w14:textId="77777777" w:rsidTr="00E549AD">
        <w:tc>
          <w:tcPr>
            <w:tcW w:w="3964" w:type="dxa"/>
            <w:shd w:val="clear" w:color="auto" w:fill="auto"/>
          </w:tcPr>
          <w:p w14:paraId="0615F434" w14:textId="77777777" w:rsidR="001529AD" w:rsidRPr="00485F20" w:rsidRDefault="001529AD" w:rsidP="00E549AD">
            <w:pPr>
              <w:pStyle w:val="VCAAtablecondensed"/>
            </w:pPr>
            <w:r w:rsidRPr="00485F20">
              <w:rPr>
                <w:b/>
                <w:bCs/>
              </w:rPr>
              <w:t>Area of study</w:t>
            </w:r>
          </w:p>
        </w:tc>
        <w:tc>
          <w:tcPr>
            <w:tcW w:w="2552" w:type="dxa"/>
            <w:shd w:val="clear" w:color="auto" w:fill="auto"/>
          </w:tcPr>
          <w:p w14:paraId="134624D8" w14:textId="77777777" w:rsidR="001529AD" w:rsidRPr="00485F20" w:rsidRDefault="001529AD" w:rsidP="00E549AD">
            <w:pPr>
              <w:pStyle w:val="VCAAtablecondensed"/>
              <w:rPr>
                <w:lang w:val="en-AU"/>
              </w:rPr>
            </w:pPr>
            <w:r>
              <w:rPr>
                <w:b/>
                <w:bCs/>
                <w:lang w:val="en-AU"/>
              </w:rPr>
              <w:t>Topics</w:t>
            </w:r>
          </w:p>
        </w:tc>
        <w:tc>
          <w:tcPr>
            <w:tcW w:w="2552" w:type="dxa"/>
          </w:tcPr>
          <w:p w14:paraId="05001D8E" w14:textId="77777777" w:rsidR="001529AD" w:rsidRPr="00485F20" w:rsidRDefault="001529AD" w:rsidP="00E549AD">
            <w:pPr>
              <w:pStyle w:val="VCAAtablecondensed"/>
              <w:rPr>
                <w:b/>
                <w:bCs/>
                <w:lang w:val="en-AU"/>
              </w:rPr>
            </w:pPr>
            <w:r>
              <w:rPr>
                <w:b/>
                <w:bCs/>
                <w:lang w:val="en-AU"/>
              </w:rPr>
              <w:t>Content dot points</w:t>
            </w:r>
          </w:p>
        </w:tc>
      </w:tr>
      <w:tr w:rsidR="001529AD" w14:paraId="07792CE6" w14:textId="77777777" w:rsidTr="00E549AD">
        <w:tc>
          <w:tcPr>
            <w:tcW w:w="3964" w:type="dxa"/>
          </w:tcPr>
          <w:p w14:paraId="3B9CCE01" w14:textId="77777777" w:rsidR="001529AD" w:rsidRDefault="001529AD" w:rsidP="001529AD">
            <w:pPr>
              <w:pStyle w:val="VCAAtablecondensed"/>
              <w:rPr>
                <w:lang w:val="en-AU"/>
              </w:rPr>
            </w:pPr>
            <w:r>
              <w:rPr>
                <w:lang w:val="en-AU"/>
              </w:rPr>
              <w:t>Data analysis, probability and statistics</w:t>
            </w:r>
          </w:p>
          <w:p w14:paraId="29B5AE21" w14:textId="0997C366" w:rsidR="001529AD" w:rsidRDefault="001529AD" w:rsidP="001529AD">
            <w:pPr>
              <w:pStyle w:val="VCAAtablecondensed"/>
            </w:pPr>
            <w:r w:rsidRPr="00194C60">
              <w:rPr>
                <w:i/>
              </w:rPr>
              <w:t>Investigating data distributions</w:t>
            </w:r>
          </w:p>
        </w:tc>
        <w:tc>
          <w:tcPr>
            <w:tcW w:w="2552" w:type="dxa"/>
          </w:tcPr>
          <w:p w14:paraId="2CF24D26" w14:textId="77777777" w:rsidR="001529AD" w:rsidRPr="00902368" w:rsidRDefault="001529AD" w:rsidP="001529AD">
            <w:pPr>
              <w:pStyle w:val="VCAAtablecondensed"/>
            </w:pPr>
            <w:r w:rsidRPr="00902368">
              <w:t>Investigating associations between two variables</w:t>
            </w:r>
          </w:p>
          <w:p w14:paraId="668667B8" w14:textId="77777777" w:rsidR="001529AD" w:rsidRPr="00902368" w:rsidRDefault="001529AD" w:rsidP="001529AD">
            <w:pPr>
              <w:pStyle w:val="VCAAtablecondensed"/>
            </w:pPr>
            <w:r w:rsidRPr="00902368">
              <w:t>Investigating and modelling linear associations</w:t>
            </w:r>
          </w:p>
          <w:p w14:paraId="009D9BC9" w14:textId="4D45F188" w:rsidR="001529AD" w:rsidRDefault="001529AD" w:rsidP="001529AD">
            <w:pPr>
              <w:pStyle w:val="VCAAtablecondensed"/>
              <w:rPr>
                <w:lang w:val="en-AU"/>
              </w:rPr>
            </w:pPr>
            <w:r w:rsidRPr="00902368">
              <w:t>Investigating and modelling time series data</w:t>
            </w:r>
          </w:p>
        </w:tc>
        <w:tc>
          <w:tcPr>
            <w:tcW w:w="2552" w:type="dxa"/>
          </w:tcPr>
          <w:p w14:paraId="055CCC8F" w14:textId="77777777" w:rsidR="001529AD" w:rsidRDefault="001529AD" w:rsidP="001529AD">
            <w:pPr>
              <w:pStyle w:val="VCAAtablecondensed"/>
            </w:pPr>
            <w:r>
              <w:t>2, 3, 4, 5</w:t>
            </w:r>
          </w:p>
          <w:p w14:paraId="54203FF9" w14:textId="77777777" w:rsidR="001529AD" w:rsidRDefault="001529AD" w:rsidP="001529AD">
            <w:pPr>
              <w:pStyle w:val="VCAAtablecondensed"/>
              <w:spacing w:after="0"/>
            </w:pPr>
          </w:p>
          <w:p w14:paraId="74430BDF" w14:textId="77777777" w:rsidR="001529AD" w:rsidRDefault="001529AD" w:rsidP="001529AD">
            <w:pPr>
              <w:pStyle w:val="VCAAtablecondensed"/>
              <w:spacing w:before="0"/>
            </w:pPr>
            <w:r>
              <w:t>1, 4, 5, 6, 7</w:t>
            </w:r>
          </w:p>
          <w:p w14:paraId="4B2B50BD" w14:textId="77777777" w:rsidR="001529AD" w:rsidRDefault="001529AD" w:rsidP="001529AD">
            <w:pPr>
              <w:pStyle w:val="VCAAtablecondensed"/>
              <w:spacing w:after="0"/>
            </w:pPr>
          </w:p>
          <w:p w14:paraId="58CE900D" w14:textId="57C53DB2" w:rsidR="001529AD" w:rsidRDefault="001529AD" w:rsidP="001529AD">
            <w:pPr>
              <w:pStyle w:val="VCAAtablecondensed"/>
              <w:spacing w:before="0"/>
            </w:pPr>
            <w:r>
              <w:t>1, 2, 3, 4, 5, 6, 7, 8, 9, 10</w:t>
            </w:r>
          </w:p>
        </w:tc>
      </w:tr>
    </w:tbl>
    <w:p w14:paraId="1C1C59F8" w14:textId="36906D58" w:rsidR="001529AD" w:rsidRDefault="001529AD" w:rsidP="001529AD">
      <w:pPr>
        <w:pStyle w:val="VCAAbody"/>
        <w:spacing w:line="276" w:lineRule="auto"/>
      </w:pPr>
    </w:p>
    <w:p w14:paraId="5DBFA91A" w14:textId="77777777" w:rsidR="001529AD" w:rsidRDefault="001529AD">
      <w:pPr>
        <w:rPr>
          <w:rFonts w:ascii="Arial" w:hAnsi="Arial" w:cs="Arial"/>
          <w:color w:val="000000" w:themeColor="text1"/>
          <w:sz w:val="20"/>
        </w:rPr>
      </w:pPr>
      <w:r>
        <w:br w:type="page"/>
      </w:r>
    </w:p>
    <w:p w14:paraId="26AB8203" w14:textId="77777777" w:rsidR="001529AD" w:rsidRPr="00DB567A" w:rsidRDefault="001529AD" w:rsidP="001529AD">
      <w:pPr>
        <w:pStyle w:val="VCAAHeading3"/>
      </w:pPr>
      <w:r w:rsidRPr="00DB567A">
        <w:lastRenderedPageBreak/>
        <w:t>Outcomes</w:t>
      </w:r>
    </w:p>
    <w:p w14:paraId="1CA76643" w14:textId="28A5F2BD" w:rsidR="001529AD" w:rsidRDefault="001529AD" w:rsidP="001529AD">
      <w:pPr>
        <w:pStyle w:val="VCAAbody"/>
      </w:pPr>
      <w:r w:rsidRPr="00BA3888">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1529AD" w:rsidRPr="00FA2380" w14:paraId="6BCA2A93" w14:textId="77777777" w:rsidTr="00E549AD">
        <w:tc>
          <w:tcPr>
            <w:tcW w:w="8926" w:type="dxa"/>
            <w:gridSpan w:val="3"/>
            <w:shd w:val="clear" w:color="auto" w:fill="0F7EB4"/>
            <w:vAlign w:val="center"/>
          </w:tcPr>
          <w:p w14:paraId="11725F99" w14:textId="77777777" w:rsidR="001529AD" w:rsidRPr="00FA2380" w:rsidRDefault="001529AD" w:rsidP="00E549AD">
            <w:pPr>
              <w:pStyle w:val="VCAAtablecondensedheading"/>
              <w:rPr>
                <w:b/>
                <w:bCs/>
              </w:rPr>
            </w:pPr>
            <w:r>
              <w:rPr>
                <w:b/>
                <w:lang w:val="en-AU"/>
              </w:rPr>
              <w:t>Unit 3</w:t>
            </w:r>
          </w:p>
        </w:tc>
      </w:tr>
      <w:tr w:rsidR="001529AD" w:rsidRPr="00FA2380" w14:paraId="0692AF03" w14:textId="77777777" w:rsidTr="00E549AD">
        <w:tc>
          <w:tcPr>
            <w:tcW w:w="2975" w:type="dxa"/>
            <w:shd w:val="clear" w:color="auto" w:fill="auto"/>
          </w:tcPr>
          <w:p w14:paraId="45D0455F" w14:textId="77777777" w:rsidR="001529AD" w:rsidRPr="00E850AC" w:rsidRDefault="001529AD" w:rsidP="00E549AD">
            <w:pPr>
              <w:pStyle w:val="VCAAtablecondensedheading"/>
              <w:rPr>
                <w:b/>
                <w:color w:val="auto"/>
                <w:lang w:val="en-AU"/>
              </w:rPr>
            </w:pPr>
            <w:r w:rsidRPr="00E850AC">
              <w:rPr>
                <w:b/>
                <w:color w:val="auto"/>
                <w:lang w:val="en-AU"/>
              </w:rPr>
              <w:t>Outcome</w:t>
            </w:r>
          </w:p>
        </w:tc>
        <w:tc>
          <w:tcPr>
            <w:tcW w:w="2975" w:type="dxa"/>
            <w:shd w:val="clear" w:color="auto" w:fill="auto"/>
          </w:tcPr>
          <w:p w14:paraId="62022866" w14:textId="77777777" w:rsidR="001529AD" w:rsidRPr="00E850AC" w:rsidRDefault="001529AD" w:rsidP="00E549AD">
            <w:pPr>
              <w:pStyle w:val="VCAAtablecondensedheading"/>
              <w:rPr>
                <w:b/>
                <w:color w:val="auto"/>
                <w:lang w:val="en-AU"/>
              </w:rPr>
            </w:pPr>
            <w:r w:rsidRPr="00E850AC">
              <w:rPr>
                <w:b/>
                <w:color w:val="auto"/>
                <w:lang w:val="en-AU"/>
              </w:rPr>
              <w:t>Key knowledge dot point</w:t>
            </w:r>
          </w:p>
        </w:tc>
        <w:tc>
          <w:tcPr>
            <w:tcW w:w="2976" w:type="dxa"/>
            <w:shd w:val="clear" w:color="auto" w:fill="auto"/>
          </w:tcPr>
          <w:p w14:paraId="07D4B78F" w14:textId="77777777" w:rsidR="001529AD" w:rsidRPr="00E850AC" w:rsidRDefault="001529AD" w:rsidP="00E549AD">
            <w:pPr>
              <w:pStyle w:val="VCAAtablecondensedheading"/>
              <w:rPr>
                <w:b/>
                <w:color w:val="auto"/>
                <w:lang w:val="en-AU"/>
              </w:rPr>
            </w:pPr>
            <w:r w:rsidRPr="00E850AC">
              <w:rPr>
                <w:b/>
                <w:color w:val="auto"/>
                <w:lang w:val="en-AU"/>
              </w:rPr>
              <w:t>Key skills dot poin</w:t>
            </w:r>
            <w:r>
              <w:rPr>
                <w:b/>
                <w:color w:val="auto"/>
                <w:lang w:val="en-AU"/>
              </w:rPr>
              <w:t>t</w:t>
            </w:r>
          </w:p>
        </w:tc>
      </w:tr>
      <w:tr w:rsidR="001529AD" w14:paraId="62E68232" w14:textId="77777777" w:rsidTr="00E549AD">
        <w:tc>
          <w:tcPr>
            <w:tcW w:w="2975" w:type="dxa"/>
          </w:tcPr>
          <w:p w14:paraId="4450B332" w14:textId="1809FF68" w:rsidR="001529AD" w:rsidRPr="00803A35" w:rsidRDefault="001529AD" w:rsidP="001529AD">
            <w:pPr>
              <w:pStyle w:val="VCAAtablecondensed"/>
            </w:pPr>
            <w:r w:rsidRPr="00EC3FDA">
              <w:t>1</w:t>
            </w:r>
          </w:p>
        </w:tc>
        <w:tc>
          <w:tcPr>
            <w:tcW w:w="2975" w:type="dxa"/>
          </w:tcPr>
          <w:p w14:paraId="66F76C57" w14:textId="2CB0AAB9" w:rsidR="001529AD" w:rsidRPr="00803A35" w:rsidRDefault="001529AD" w:rsidP="001529AD">
            <w:pPr>
              <w:pStyle w:val="VCAAtablecondensed"/>
            </w:pPr>
            <w:r>
              <w:t>1, 2, 3, 4, 7, 8, 9, 10, 11, 12</w:t>
            </w:r>
          </w:p>
        </w:tc>
        <w:tc>
          <w:tcPr>
            <w:tcW w:w="2976" w:type="dxa"/>
          </w:tcPr>
          <w:p w14:paraId="3D042404" w14:textId="56D8B5EC" w:rsidR="001529AD" w:rsidRPr="00803A35" w:rsidRDefault="001529AD" w:rsidP="001529AD">
            <w:pPr>
              <w:pStyle w:val="VCAAtablecondensed"/>
            </w:pPr>
            <w:r>
              <w:t>3, 4, 8, 9, 10, 11, 12, 13, 14, 17</w:t>
            </w:r>
          </w:p>
        </w:tc>
      </w:tr>
      <w:tr w:rsidR="001529AD" w14:paraId="731EBAD5" w14:textId="77777777" w:rsidTr="00E549AD">
        <w:tc>
          <w:tcPr>
            <w:tcW w:w="2975" w:type="dxa"/>
          </w:tcPr>
          <w:p w14:paraId="401DA2B6" w14:textId="5C9AD0F2" w:rsidR="001529AD" w:rsidRPr="00803A35" w:rsidRDefault="001529AD" w:rsidP="001529AD">
            <w:pPr>
              <w:pStyle w:val="VCAAtablecondensed"/>
            </w:pPr>
            <w:r w:rsidRPr="00EC3FDA">
              <w:t>2</w:t>
            </w:r>
          </w:p>
        </w:tc>
        <w:tc>
          <w:tcPr>
            <w:tcW w:w="2975" w:type="dxa"/>
          </w:tcPr>
          <w:p w14:paraId="4BF80532" w14:textId="76BD3EAC" w:rsidR="001529AD" w:rsidRPr="00803A35" w:rsidRDefault="001529AD" w:rsidP="001529AD">
            <w:pPr>
              <w:pStyle w:val="VCAAtablecondensed"/>
            </w:pPr>
            <w:r w:rsidRPr="00EC3FDA">
              <w:t>1, 2, 3, 4</w:t>
            </w:r>
          </w:p>
        </w:tc>
        <w:tc>
          <w:tcPr>
            <w:tcW w:w="2976" w:type="dxa"/>
          </w:tcPr>
          <w:p w14:paraId="04EC2A48" w14:textId="6A594C00" w:rsidR="001529AD" w:rsidRPr="00803A35" w:rsidRDefault="001529AD" w:rsidP="001529AD">
            <w:pPr>
              <w:pStyle w:val="VCAAtablecondensed"/>
            </w:pPr>
            <w:r>
              <w:t>1, 4</w:t>
            </w:r>
          </w:p>
        </w:tc>
      </w:tr>
      <w:tr w:rsidR="001529AD" w14:paraId="2522CC12" w14:textId="77777777" w:rsidTr="00E549AD">
        <w:tc>
          <w:tcPr>
            <w:tcW w:w="2975" w:type="dxa"/>
          </w:tcPr>
          <w:p w14:paraId="7CF283CC" w14:textId="799C9B62" w:rsidR="001529AD" w:rsidRPr="00F37934" w:rsidRDefault="001529AD" w:rsidP="001529AD">
            <w:pPr>
              <w:pStyle w:val="VCAAtablecondensed"/>
            </w:pPr>
            <w:r w:rsidRPr="00EC3FDA">
              <w:t>3</w:t>
            </w:r>
          </w:p>
        </w:tc>
        <w:tc>
          <w:tcPr>
            <w:tcW w:w="2975" w:type="dxa"/>
          </w:tcPr>
          <w:p w14:paraId="7EB72437" w14:textId="50C9A8E0" w:rsidR="001529AD" w:rsidRPr="00F37934" w:rsidRDefault="001529AD" w:rsidP="001529AD">
            <w:pPr>
              <w:pStyle w:val="VCAAtablecondensed"/>
            </w:pPr>
            <w:r>
              <w:t>1</w:t>
            </w:r>
            <w:r w:rsidRPr="00EC3FDA">
              <w:t xml:space="preserve">, 3, 4, </w:t>
            </w:r>
            <w:r>
              <w:t>5, 7</w:t>
            </w:r>
          </w:p>
        </w:tc>
        <w:tc>
          <w:tcPr>
            <w:tcW w:w="2976" w:type="dxa"/>
          </w:tcPr>
          <w:p w14:paraId="52F53C9A" w14:textId="04F1C503" w:rsidR="001529AD" w:rsidRPr="00F37934" w:rsidRDefault="001529AD" w:rsidP="001529AD">
            <w:pPr>
              <w:pStyle w:val="VCAAtablecondensed"/>
            </w:pPr>
            <w:r>
              <w:t>1</w:t>
            </w:r>
            <w:r w:rsidRPr="00EC3FDA">
              <w:t xml:space="preserve">, 3, 4, 5, 6, </w:t>
            </w:r>
            <w:r>
              <w:t xml:space="preserve">7, </w:t>
            </w:r>
            <w:r w:rsidRPr="00EC3FDA">
              <w:t>8, 9, 10, 11</w:t>
            </w:r>
            <w:r>
              <w:t>, 12</w:t>
            </w:r>
          </w:p>
        </w:tc>
      </w:tr>
    </w:tbl>
    <w:p w14:paraId="42FB8623" w14:textId="77777777" w:rsidR="001529AD" w:rsidRDefault="001529AD" w:rsidP="001529AD">
      <w:pPr>
        <w:pStyle w:val="VCAAnumbers"/>
        <w:numPr>
          <w:ilvl w:val="0"/>
          <w:numId w:val="0"/>
        </w:numPr>
        <w:spacing w:after="240"/>
        <w:contextualSpacing w:val="0"/>
        <w:rPr>
          <w:rFonts w:eastAsia="Calibri"/>
          <w:lang w:val="en-AU"/>
        </w:rPr>
      </w:pPr>
    </w:p>
    <w:sectPr w:rsidR="001529AD"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F5D94C6" w:rsidR="00FD29D3" w:rsidRPr="00D86DE4" w:rsidRDefault="001529A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2105A">
          <w:rPr>
            <w:color w:val="999999" w:themeColor="accent2"/>
          </w:rPr>
          <w:t>VCE General Mathematics Unit 3</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F6DA4"/>
    <w:multiLevelType w:val="hybridMultilevel"/>
    <w:tmpl w:val="5E4273F8"/>
    <w:lvl w:ilvl="0" w:tplc="9558C6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E70C5"/>
    <w:multiLevelType w:val="hybridMultilevel"/>
    <w:tmpl w:val="EFBA5618"/>
    <w:lvl w:ilvl="0" w:tplc="48D23436">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433E3"/>
    <w:multiLevelType w:val="hybridMultilevel"/>
    <w:tmpl w:val="B4303B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E02DC8"/>
    <w:multiLevelType w:val="hybridMultilevel"/>
    <w:tmpl w:val="372279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EF42CE"/>
    <w:multiLevelType w:val="hybridMultilevel"/>
    <w:tmpl w:val="751C39EA"/>
    <w:lvl w:ilvl="0" w:tplc="23E6776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96BCC"/>
    <w:multiLevelType w:val="hybridMultilevel"/>
    <w:tmpl w:val="96A6DE50"/>
    <w:lvl w:ilvl="0" w:tplc="2C0E8B0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3A94A76"/>
    <w:multiLevelType w:val="hybridMultilevel"/>
    <w:tmpl w:val="A2C293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C730A1"/>
    <w:multiLevelType w:val="hybridMultilevel"/>
    <w:tmpl w:val="39ACFE6A"/>
    <w:lvl w:ilvl="0" w:tplc="C82AA0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0987514"/>
    <w:multiLevelType w:val="hybridMultilevel"/>
    <w:tmpl w:val="6062E904"/>
    <w:lvl w:ilvl="0" w:tplc="BD4E0A5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9401889"/>
    <w:multiLevelType w:val="hybridMultilevel"/>
    <w:tmpl w:val="EE26E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9535E5"/>
    <w:multiLevelType w:val="hybridMultilevel"/>
    <w:tmpl w:val="7D6E7A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709DC"/>
    <w:multiLevelType w:val="hybridMultilevel"/>
    <w:tmpl w:val="B8A2AD4C"/>
    <w:lvl w:ilvl="0" w:tplc="A81A6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F4655B"/>
    <w:multiLevelType w:val="hybridMultilevel"/>
    <w:tmpl w:val="9AB48158"/>
    <w:lvl w:ilvl="0" w:tplc="7B62F36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9"/>
  </w:num>
  <w:num w:numId="3">
    <w:abstractNumId w:val="5"/>
  </w:num>
  <w:num w:numId="4">
    <w:abstractNumId w:val="18"/>
  </w:num>
  <w:num w:numId="5">
    <w:abstractNumId w:val="10"/>
  </w:num>
  <w:num w:numId="6">
    <w:abstractNumId w:val="12"/>
  </w:num>
  <w:num w:numId="7">
    <w:abstractNumId w:val="16"/>
  </w:num>
  <w:num w:numId="8">
    <w:abstractNumId w:val="20"/>
  </w:num>
  <w:num w:numId="9">
    <w:abstractNumId w:val="11"/>
  </w:num>
  <w:num w:numId="10">
    <w:abstractNumId w:val="3"/>
  </w:num>
  <w:num w:numId="11">
    <w:abstractNumId w:val="23"/>
  </w:num>
  <w:num w:numId="12">
    <w:abstractNumId w:val="14"/>
  </w:num>
  <w:num w:numId="13">
    <w:abstractNumId w:val="1"/>
  </w:num>
  <w:num w:numId="14">
    <w:abstractNumId w:val="8"/>
  </w:num>
  <w:num w:numId="15">
    <w:abstractNumId w:val="2"/>
  </w:num>
  <w:num w:numId="16">
    <w:abstractNumId w:val="24"/>
  </w:num>
  <w:num w:numId="17">
    <w:abstractNumId w:val="19"/>
  </w:num>
  <w:num w:numId="18">
    <w:abstractNumId w:val="6"/>
  </w:num>
  <w:num w:numId="19">
    <w:abstractNumId w:val="0"/>
  </w:num>
  <w:num w:numId="20">
    <w:abstractNumId w:val="7"/>
  </w:num>
  <w:num w:numId="21">
    <w:abstractNumId w:val="4"/>
  </w:num>
  <w:num w:numId="22">
    <w:abstractNumId w:val="22"/>
  </w:num>
  <w:num w:numId="23">
    <w:abstractNumId w:val="17"/>
  </w:num>
  <w:num w:numId="24">
    <w:abstractNumId w:val="21"/>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D4E3B"/>
    <w:rsid w:val="000E2B81"/>
    <w:rsid w:val="000F09E4"/>
    <w:rsid w:val="000F16FD"/>
    <w:rsid w:val="000F5AAF"/>
    <w:rsid w:val="0012105A"/>
    <w:rsid w:val="00143520"/>
    <w:rsid w:val="001529AD"/>
    <w:rsid w:val="00153AD2"/>
    <w:rsid w:val="001779EA"/>
    <w:rsid w:val="00181204"/>
    <w:rsid w:val="001C7DE0"/>
    <w:rsid w:val="001D3246"/>
    <w:rsid w:val="002029F5"/>
    <w:rsid w:val="00213196"/>
    <w:rsid w:val="002279BA"/>
    <w:rsid w:val="002329F3"/>
    <w:rsid w:val="00243F0D"/>
    <w:rsid w:val="0025133F"/>
    <w:rsid w:val="00260349"/>
    <w:rsid w:val="00260767"/>
    <w:rsid w:val="002647BB"/>
    <w:rsid w:val="0027480E"/>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3E55E9"/>
    <w:rsid w:val="00402F7C"/>
    <w:rsid w:val="0040589B"/>
    <w:rsid w:val="0041382E"/>
    <w:rsid w:val="00417AA3"/>
    <w:rsid w:val="00425DFE"/>
    <w:rsid w:val="00426CDF"/>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D0B25"/>
    <w:rsid w:val="005D3D78"/>
    <w:rsid w:val="005E2EF0"/>
    <w:rsid w:val="005E4DF8"/>
    <w:rsid w:val="005F0486"/>
    <w:rsid w:val="005F4092"/>
    <w:rsid w:val="006002F7"/>
    <w:rsid w:val="00607C26"/>
    <w:rsid w:val="0061197D"/>
    <w:rsid w:val="0061630B"/>
    <w:rsid w:val="00624919"/>
    <w:rsid w:val="00654A3F"/>
    <w:rsid w:val="0068471E"/>
    <w:rsid w:val="00684F98"/>
    <w:rsid w:val="00685818"/>
    <w:rsid w:val="00693FFD"/>
    <w:rsid w:val="006C0948"/>
    <w:rsid w:val="006D2159"/>
    <w:rsid w:val="006F787C"/>
    <w:rsid w:val="007015E0"/>
    <w:rsid w:val="00702636"/>
    <w:rsid w:val="00724507"/>
    <w:rsid w:val="00727716"/>
    <w:rsid w:val="00744BC4"/>
    <w:rsid w:val="0075391A"/>
    <w:rsid w:val="00756006"/>
    <w:rsid w:val="00773E6C"/>
    <w:rsid w:val="0077468E"/>
    <w:rsid w:val="00777727"/>
    <w:rsid w:val="007807F1"/>
    <w:rsid w:val="00781FB1"/>
    <w:rsid w:val="007C4ED7"/>
    <w:rsid w:val="007D10B0"/>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8783C"/>
    <w:rsid w:val="009269E2"/>
    <w:rsid w:val="009370BC"/>
    <w:rsid w:val="00962404"/>
    <w:rsid w:val="00970580"/>
    <w:rsid w:val="00984E15"/>
    <w:rsid w:val="0098739B"/>
    <w:rsid w:val="009A0DA4"/>
    <w:rsid w:val="009A192D"/>
    <w:rsid w:val="009A7406"/>
    <w:rsid w:val="009B2060"/>
    <w:rsid w:val="009B2ECA"/>
    <w:rsid w:val="009B61E5"/>
    <w:rsid w:val="009C7D0A"/>
    <w:rsid w:val="009D1E89"/>
    <w:rsid w:val="009D6BBE"/>
    <w:rsid w:val="009E5707"/>
    <w:rsid w:val="009F48C2"/>
    <w:rsid w:val="00A13080"/>
    <w:rsid w:val="00A17661"/>
    <w:rsid w:val="00A24B2D"/>
    <w:rsid w:val="00A40966"/>
    <w:rsid w:val="00A921E0"/>
    <w:rsid w:val="00A922F4"/>
    <w:rsid w:val="00AA6397"/>
    <w:rsid w:val="00AD63F0"/>
    <w:rsid w:val="00AE2261"/>
    <w:rsid w:val="00AE5526"/>
    <w:rsid w:val="00AE59CB"/>
    <w:rsid w:val="00AF051B"/>
    <w:rsid w:val="00AF2753"/>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25E49"/>
    <w:rsid w:val="00C519C2"/>
    <w:rsid w:val="00C53263"/>
    <w:rsid w:val="00C57698"/>
    <w:rsid w:val="00C65E5B"/>
    <w:rsid w:val="00C75827"/>
    <w:rsid w:val="00C75F1D"/>
    <w:rsid w:val="00C87300"/>
    <w:rsid w:val="00C904AB"/>
    <w:rsid w:val="00C95156"/>
    <w:rsid w:val="00CA0DC2"/>
    <w:rsid w:val="00CB33EC"/>
    <w:rsid w:val="00CB68E8"/>
    <w:rsid w:val="00CD3D0B"/>
    <w:rsid w:val="00D04F01"/>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C00DC"/>
    <w:rsid w:val="00DD4FB2"/>
    <w:rsid w:val="00DE1909"/>
    <w:rsid w:val="00DE51DB"/>
    <w:rsid w:val="00DE777F"/>
    <w:rsid w:val="00E11872"/>
    <w:rsid w:val="00E148EE"/>
    <w:rsid w:val="00E23F1D"/>
    <w:rsid w:val="00E30E05"/>
    <w:rsid w:val="00E36361"/>
    <w:rsid w:val="00E4328F"/>
    <w:rsid w:val="00E55AE9"/>
    <w:rsid w:val="00E850AC"/>
    <w:rsid w:val="00EA196E"/>
    <w:rsid w:val="00EA2D2C"/>
    <w:rsid w:val="00EB0C84"/>
    <w:rsid w:val="00EC70E6"/>
    <w:rsid w:val="00F17FDE"/>
    <w:rsid w:val="00F3170F"/>
    <w:rsid w:val="00F37934"/>
    <w:rsid w:val="00F40D53"/>
    <w:rsid w:val="00F4525C"/>
    <w:rsid w:val="00F50D86"/>
    <w:rsid w:val="00F73679"/>
    <w:rsid w:val="00F94524"/>
    <w:rsid w:val="00FA2380"/>
    <w:rsid w:val="00FB3FDD"/>
    <w:rsid w:val="00FC55B3"/>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59CB"/>
    <w:pPr>
      <w:spacing w:before="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 w:type="character" w:styleId="CommentReference">
    <w:name w:val="annotation reference"/>
    <w:uiPriority w:val="99"/>
    <w:semiHidden/>
    <w:unhideWhenUsed/>
    <w:rsid w:val="00AE59CB"/>
    <w:rPr>
      <w:sz w:val="16"/>
      <w:szCs w:val="16"/>
    </w:rPr>
  </w:style>
  <w:style w:type="paragraph" w:styleId="CommentText">
    <w:name w:val="annotation text"/>
    <w:basedOn w:val="Normal"/>
    <w:link w:val="CommentTextChar"/>
    <w:uiPriority w:val="99"/>
    <w:semiHidden/>
    <w:unhideWhenUsed/>
    <w:rsid w:val="00AE59CB"/>
    <w:pPr>
      <w:spacing w:after="0" w:line="240" w:lineRule="auto"/>
    </w:pPr>
    <w:rPr>
      <w:rFonts w:ascii="Arial" w:eastAsia="MS Mincho" w:hAnsi="Arial" w:cs="Times New Roman"/>
      <w:sz w:val="20"/>
      <w:szCs w:val="20"/>
      <w:lang w:val="en-AU" w:eastAsia="ja-JP"/>
    </w:rPr>
  </w:style>
  <w:style w:type="character" w:customStyle="1" w:styleId="CommentTextChar">
    <w:name w:val="Comment Text Char"/>
    <w:basedOn w:val="DefaultParagraphFont"/>
    <w:link w:val="CommentText"/>
    <w:uiPriority w:val="99"/>
    <w:semiHidden/>
    <w:rsid w:val="00AE59CB"/>
    <w:rPr>
      <w:rFonts w:ascii="Arial" w:eastAsia="MS Mincho" w:hAnsi="Arial" w:cs="Times New Roman"/>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ba.gov.au/statistics/frequency/exchange-rat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post.com.au/currency-convert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ba.gov.au/statistics/historical-data.html#exchange-rat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7C6B82EC-103C-4646-BAFE-19E5660538A5}"/>
</file>

<file path=docProps/app.xml><?xml version="1.0" encoding="utf-8"?>
<Properties xmlns="http://schemas.openxmlformats.org/officeDocument/2006/extended-properties" xmlns:vt="http://schemas.openxmlformats.org/officeDocument/2006/docPropsVTypes">
  <Template>Normal.dotm</Template>
  <TotalTime>5</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General Mathematics Unit 3</vt:lpstr>
    </vt:vector>
  </TitlesOfParts>
  <Company>Victorian Curriculum and Assessment Authority</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3</dc:title>
  <dc:subject>VCE Mathematical Methods</dc:subject>
  <dc:creator>vcaa@education.vic.gov.au</dc:creator>
  <cp:keywords>general, mathematics, VCE, sample, application, task, data, analysis, exchange rates, Unit 3 AoS1</cp:keywords>
  <cp:lastModifiedBy>Julie Coleman</cp:lastModifiedBy>
  <cp:revision>4</cp:revision>
  <cp:lastPrinted>2015-05-15T02:36:00Z</cp:lastPrinted>
  <dcterms:created xsi:type="dcterms:W3CDTF">2022-12-21T03:10:00Z</dcterms:created>
  <dcterms:modified xsi:type="dcterms:W3CDTF">2022-12-21T03:17:00Z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