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D059653"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7D10B0">
        <w:t>3</w:t>
      </w:r>
    </w:p>
    <w:p w14:paraId="514C791E" w14:textId="456D68A7" w:rsidR="007D10B0" w:rsidRPr="00BA3888" w:rsidRDefault="007D10B0" w:rsidP="00FC55B3">
      <w:pPr>
        <w:pStyle w:val="VCAAHeading2"/>
        <w:spacing w:line="276" w:lineRule="auto"/>
        <w:ind w:right="-142"/>
      </w:pPr>
      <w:bookmarkStart w:id="0" w:name="TemplateOverview"/>
      <w:bookmarkEnd w:id="0"/>
      <w:r>
        <w:t xml:space="preserve">Area of </w:t>
      </w:r>
      <w:r>
        <w:t>S</w:t>
      </w:r>
      <w:r>
        <w:t xml:space="preserve">tudy 1 sample application task: Data analysis </w:t>
      </w:r>
      <w:r w:rsidR="00FC55B3">
        <w:br/>
      </w:r>
      <w:r w:rsidR="009D59EE">
        <w:t>The Stock Exchange</w:t>
      </w:r>
    </w:p>
    <w:p w14:paraId="7DCF5959" w14:textId="77777777" w:rsidR="007D10B0" w:rsidRPr="00B70D13" w:rsidRDefault="007D10B0" w:rsidP="007D10B0">
      <w:pPr>
        <w:pStyle w:val="VCAAbody"/>
        <w:rPr>
          <w:b/>
        </w:rPr>
      </w:pPr>
      <w:r w:rsidRPr="00B70D13">
        <w:t>The application task is to be of 4–6 hours</w:t>
      </w:r>
      <w:r>
        <w:t>’</w:t>
      </w:r>
      <w:r w:rsidRPr="00B70D13">
        <w:t xml:space="preserve"> duration over a period of 1–2 weeks.</w:t>
      </w:r>
    </w:p>
    <w:p w14:paraId="22475766" w14:textId="68D4FA99" w:rsidR="009A7406" w:rsidRPr="000C4199" w:rsidRDefault="007D10B0" w:rsidP="009A7406">
      <w:pPr>
        <w:pStyle w:val="VCAAHeading3"/>
        <w:rPr>
          <w:lang w:val="en-AU"/>
        </w:rPr>
      </w:pPr>
      <w:r>
        <w:rPr>
          <w:lang w:val="en-AU"/>
        </w:rPr>
        <w:t>Introduction</w:t>
      </w:r>
    </w:p>
    <w:p w14:paraId="24791270" w14:textId="77777777" w:rsidR="00762B9A" w:rsidRPr="00762B9A" w:rsidRDefault="00762B9A" w:rsidP="00762B9A">
      <w:pPr>
        <w:pStyle w:val="VCAAbody"/>
        <w:spacing w:before="0" w:after="0"/>
        <w:rPr>
          <w:szCs w:val="20"/>
        </w:rPr>
      </w:pPr>
      <w:r w:rsidRPr="00762B9A">
        <w:rPr>
          <w:szCs w:val="20"/>
        </w:rPr>
        <w:t xml:space="preserve">Various </w:t>
      </w:r>
      <w:hyperlink r:id="rId11" w:history="1">
        <w:r w:rsidRPr="00762B9A">
          <w:rPr>
            <w:rStyle w:val="Hyperlink"/>
            <w:szCs w:val="20"/>
          </w:rPr>
          <w:t>stock excha</w:t>
        </w:r>
        <w:r w:rsidRPr="00762B9A">
          <w:rPr>
            <w:rStyle w:val="Hyperlink"/>
            <w:szCs w:val="20"/>
          </w:rPr>
          <w:t>n</w:t>
        </w:r>
        <w:r w:rsidRPr="00762B9A">
          <w:rPr>
            <w:rStyle w:val="Hyperlink"/>
            <w:szCs w:val="20"/>
          </w:rPr>
          <w:t>ges</w:t>
        </w:r>
      </w:hyperlink>
      <w:r w:rsidRPr="00762B9A">
        <w:rPr>
          <w:szCs w:val="20"/>
        </w:rPr>
        <w:t xml:space="preserve"> from around the world are well known and provide important data that informs economic analysis. Various global events impact on the value of stock market indexes. In this task, the behaviour of the stock exchange in Australia, the US and Hong Kong and their association is investigated. </w:t>
      </w:r>
    </w:p>
    <w:p w14:paraId="4CEE385D" w14:textId="77777777" w:rsidR="00762B9A" w:rsidRPr="00762B9A" w:rsidRDefault="00762B9A" w:rsidP="00762B9A">
      <w:pPr>
        <w:pStyle w:val="VCAAbody"/>
        <w:rPr>
          <w:noProof/>
          <w:szCs w:val="20"/>
        </w:rPr>
      </w:pPr>
      <w:r w:rsidRPr="00762B9A">
        <w:rPr>
          <w:noProof/>
          <w:szCs w:val="20"/>
        </w:rPr>
        <w:t xml:space="preserve">A measure of the Australian Stock Exchange is the ASX100. See data for the </w:t>
      </w:r>
      <w:hyperlink r:id="rId12" w:history="1">
        <w:r w:rsidRPr="00762B9A">
          <w:rPr>
            <w:rStyle w:val="Hyperlink"/>
            <w:noProof/>
            <w:szCs w:val="20"/>
          </w:rPr>
          <w:t>last ca</w:t>
        </w:r>
        <w:r w:rsidRPr="00762B9A">
          <w:rPr>
            <w:rStyle w:val="Hyperlink"/>
            <w:noProof/>
            <w:szCs w:val="20"/>
          </w:rPr>
          <w:t>l</w:t>
        </w:r>
        <w:r w:rsidRPr="00762B9A">
          <w:rPr>
            <w:rStyle w:val="Hyperlink"/>
            <w:noProof/>
            <w:szCs w:val="20"/>
          </w:rPr>
          <w:t>endar month</w:t>
        </w:r>
      </w:hyperlink>
      <w:r w:rsidRPr="00762B9A">
        <w:rPr>
          <w:noProof/>
          <w:szCs w:val="20"/>
        </w:rPr>
        <w:t xml:space="preserve">. </w:t>
      </w:r>
    </w:p>
    <w:p w14:paraId="69F52119" w14:textId="77777777" w:rsidR="00762B9A" w:rsidRPr="00762B9A" w:rsidRDefault="00762B9A" w:rsidP="00762B9A">
      <w:pPr>
        <w:pStyle w:val="VCAAbody"/>
        <w:rPr>
          <w:noProof/>
          <w:szCs w:val="20"/>
        </w:rPr>
      </w:pPr>
      <w:r w:rsidRPr="00762B9A">
        <w:rPr>
          <w:noProof/>
          <w:szCs w:val="20"/>
        </w:rPr>
        <w:t xml:space="preserve">A measure of the US Stock Exchange is the Dow Jones Index. See data </w:t>
      </w:r>
      <w:hyperlink r:id="rId13" w:history="1">
        <w:r w:rsidRPr="00762B9A">
          <w:rPr>
            <w:rStyle w:val="Hyperlink"/>
            <w:noProof/>
            <w:szCs w:val="20"/>
          </w:rPr>
          <w:t>for the last calendar month</w:t>
        </w:r>
      </w:hyperlink>
      <w:r w:rsidRPr="00762B9A">
        <w:rPr>
          <w:noProof/>
          <w:szCs w:val="20"/>
        </w:rPr>
        <w:t>.</w:t>
      </w:r>
    </w:p>
    <w:p w14:paraId="7C03A9B3" w14:textId="77777777" w:rsidR="00762B9A" w:rsidRPr="00762B9A" w:rsidRDefault="00762B9A" w:rsidP="00762B9A">
      <w:pPr>
        <w:pStyle w:val="VCAAbody"/>
        <w:rPr>
          <w:noProof/>
          <w:szCs w:val="20"/>
        </w:rPr>
      </w:pPr>
      <w:r w:rsidRPr="00762B9A">
        <w:rPr>
          <w:noProof/>
          <w:szCs w:val="20"/>
        </w:rPr>
        <w:t xml:space="preserve">A measure of the Hong Kong Stock Exchange is the Hang Sen Index. See data </w:t>
      </w:r>
      <w:hyperlink r:id="rId14" w:history="1">
        <w:r w:rsidRPr="00762B9A">
          <w:rPr>
            <w:rStyle w:val="Hyperlink"/>
            <w:noProof/>
            <w:szCs w:val="20"/>
          </w:rPr>
          <w:t xml:space="preserve">for </w:t>
        </w:r>
        <w:r w:rsidRPr="00762B9A">
          <w:rPr>
            <w:rStyle w:val="Hyperlink"/>
            <w:noProof/>
            <w:szCs w:val="20"/>
          </w:rPr>
          <w:t>t</w:t>
        </w:r>
        <w:r w:rsidRPr="00762B9A">
          <w:rPr>
            <w:rStyle w:val="Hyperlink"/>
            <w:noProof/>
            <w:szCs w:val="20"/>
          </w:rPr>
          <w:t>he last calendar month</w:t>
        </w:r>
      </w:hyperlink>
      <w:r w:rsidRPr="00762B9A">
        <w:rPr>
          <w:noProof/>
          <w:szCs w:val="20"/>
        </w:rPr>
        <w:t xml:space="preserve">. </w:t>
      </w:r>
    </w:p>
    <w:p w14:paraId="0A05B276" w14:textId="77777777" w:rsidR="00762B9A" w:rsidRPr="00F831C5" w:rsidRDefault="00762B9A" w:rsidP="00762B9A">
      <w:pPr>
        <w:pStyle w:val="VCAAHeading4"/>
      </w:pPr>
      <w:r w:rsidRPr="00F831C5">
        <w:t>Component 1</w:t>
      </w:r>
    </w:p>
    <w:p w14:paraId="179BFE7C" w14:textId="77777777" w:rsidR="00762B9A" w:rsidRPr="00762B9A" w:rsidRDefault="00762B9A" w:rsidP="00762B9A">
      <w:pPr>
        <w:pStyle w:val="VCAAHeading1"/>
        <w:numPr>
          <w:ilvl w:val="0"/>
          <w:numId w:val="18"/>
        </w:numPr>
        <w:spacing w:before="0" w:after="0" w:line="276" w:lineRule="auto"/>
        <w:rPr>
          <w:bCs/>
          <w:noProof/>
          <w:color w:val="auto"/>
          <w:sz w:val="20"/>
          <w:szCs w:val="20"/>
        </w:rPr>
      </w:pPr>
      <w:r w:rsidRPr="00762B9A">
        <w:rPr>
          <w:bCs/>
          <w:noProof/>
          <w:color w:val="auto"/>
          <w:sz w:val="20"/>
          <w:szCs w:val="20"/>
        </w:rPr>
        <w:t>Construct a time series plot of the ASX100 over the last calendar month and describe any fluctuations.</w:t>
      </w:r>
    </w:p>
    <w:p w14:paraId="567E9591" w14:textId="77777777" w:rsidR="00762B9A" w:rsidRPr="00762B9A" w:rsidRDefault="00762B9A" w:rsidP="00762B9A">
      <w:pPr>
        <w:pStyle w:val="VCAAHeading1"/>
        <w:numPr>
          <w:ilvl w:val="0"/>
          <w:numId w:val="18"/>
        </w:numPr>
        <w:spacing w:before="0" w:after="0" w:line="276" w:lineRule="auto"/>
        <w:rPr>
          <w:bCs/>
          <w:noProof/>
          <w:color w:val="auto"/>
          <w:sz w:val="20"/>
          <w:szCs w:val="20"/>
        </w:rPr>
      </w:pPr>
      <w:r w:rsidRPr="00762B9A">
        <w:rPr>
          <w:bCs/>
          <w:noProof/>
          <w:color w:val="auto"/>
          <w:sz w:val="20"/>
          <w:szCs w:val="20"/>
        </w:rPr>
        <w:t>Using an appropirate smoothing method, smooth the data and describe the smoothed plot.</w:t>
      </w:r>
    </w:p>
    <w:p w14:paraId="204043CF" w14:textId="77777777" w:rsidR="00762B9A" w:rsidRPr="00F831C5" w:rsidRDefault="00762B9A" w:rsidP="00762B9A">
      <w:pPr>
        <w:pStyle w:val="VCAAHeading4"/>
      </w:pPr>
      <w:r>
        <w:t>Component 2</w:t>
      </w:r>
    </w:p>
    <w:p w14:paraId="5C762747" w14:textId="77777777" w:rsidR="00762B9A" w:rsidRDefault="00762B9A" w:rsidP="00762B9A">
      <w:pPr>
        <w:pStyle w:val="VCAAnumbers"/>
        <w:numPr>
          <w:ilvl w:val="0"/>
          <w:numId w:val="28"/>
        </w:numPr>
        <w:tabs>
          <w:tab w:val="left" w:pos="425"/>
        </w:tabs>
        <w:spacing w:before="120"/>
        <w:rPr>
          <w:rFonts w:eastAsia="Calibri"/>
          <w:lang w:val="en-AU"/>
        </w:rPr>
      </w:pPr>
      <w:r>
        <w:rPr>
          <w:rFonts w:eastAsia="Calibri"/>
          <w:lang w:val="en-AU"/>
        </w:rPr>
        <w:t>Investigate the relationship between the ASX100 and the Dow Jones for a calendar month.</w:t>
      </w:r>
    </w:p>
    <w:p w14:paraId="3BCDA8C8" w14:textId="77777777" w:rsidR="00762B9A" w:rsidRDefault="00762B9A" w:rsidP="00762B9A">
      <w:pPr>
        <w:pStyle w:val="VCAAnumbers"/>
        <w:numPr>
          <w:ilvl w:val="1"/>
          <w:numId w:val="28"/>
        </w:numPr>
        <w:tabs>
          <w:tab w:val="left" w:pos="425"/>
        </w:tabs>
        <w:spacing w:before="120"/>
        <w:rPr>
          <w:rFonts w:eastAsia="Calibri"/>
          <w:lang w:val="en-AU"/>
        </w:rPr>
      </w:pPr>
      <w:r>
        <w:rPr>
          <w:rFonts w:eastAsia="Calibri"/>
          <w:lang w:val="en-AU"/>
        </w:rPr>
        <w:t>Construct</w:t>
      </w:r>
      <w:r w:rsidRPr="00947CA7">
        <w:rPr>
          <w:rFonts w:eastAsia="Calibri"/>
          <w:lang w:val="en-AU"/>
        </w:rPr>
        <w:t xml:space="preserve"> a scatterplot of the </w:t>
      </w:r>
      <w:r>
        <w:rPr>
          <w:rFonts w:eastAsia="Calibri"/>
          <w:lang w:val="en-AU"/>
        </w:rPr>
        <w:t>ASX100 against the Dow Jones</w:t>
      </w:r>
      <w:r w:rsidRPr="00947CA7">
        <w:rPr>
          <w:rFonts w:eastAsia="Calibri"/>
          <w:lang w:val="en-AU"/>
        </w:rPr>
        <w:t xml:space="preserve">, </w:t>
      </w:r>
      <w:r>
        <w:rPr>
          <w:rFonts w:eastAsia="Calibri"/>
          <w:lang w:val="en-AU"/>
        </w:rPr>
        <w:t>and describe it in terms of direction, form and strength.</w:t>
      </w:r>
    </w:p>
    <w:p w14:paraId="5BD0E043" w14:textId="77777777" w:rsidR="00762B9A" w:rsidRDefault="00762B9A" w:rsidP="00762B9A">
      <w:pPr>
        <w:pStyle w:val="VCAAnumbers"/>
        <w:numPr>
          <w:ilvl w:val="1"/>
          <w:numId w:val="28"/>
        </w:numPr>
        <w:tabs>
          <w:tab w:val="left" w:pos="425"/>
        </w:tabs>
        <w:spacing w:before="120"/>
        <w:rPr>
          <w:rFonts w:eastAsia="Calibri"/>
          <w:lang w:val="en-AU"/>
        </w:rPr>
      </w:pPr>
      <w:r>
        <w:rPr>
          <w:rFonts w:eastAsia="Calibri"/>
          <w:lang w:val="en-AU"/>
        </w:rPr>
        <w:t>Determine the correlation and coefficient of determination, and interpret these measures.</w:t>
      </w:r>
    </w:p>
    <w:p w14:paraId="773861D9" w14:textId="77777777" w:rsidR="00762B9A" w:rsidRDefault="00762B9A" w:rsidP="00762B9A">
      <w:pPr>
        <w:pStyle w:val="VCAAnumbers"/>
        <w:numPr>
          <w:ilvl w:val="1"/>
          <w:numId w:val="28"/>
        </w:numPr>
        <w:tabs>
          <w:tab w:val="left" w:pos="425"/>
        </w:tabs>
        <w:spacing w:before="120"/>
        <w:rPr>
          <w:rFonts w:eastAsia="Calibri"/>
          <w:lang w:val="en-AU"/>
        </w:rPr>
      </w:pPr>
      <w:r w:rsidRPr="00F831C5">
        <w:rPr>
          <w:rFonts w:eastAsia="Calibri"/>
          <w:lang w:val="en-AU"/>
        </w:rPr>
        <w:t>Determine the equation of the regression line, draw the regression line on the scatterplot, and interpret the intercept and slope in terms of the ASX and the Dow Jones.</w:t>
      </w:r>
    </w:p>
    <w:p w14:paraId="490EB72B" w14:textId="77777777" w:rsidR="00762B9A" w:rsidRDefault="00762B9A" w:rsidP="00762B9A">
      <w:pPr>
        <w:pStyle w:val="VCAAnumbers"/>
        <w:numPr>
          <w:ilvl w:val="1"/>
          <w:numId w:val="28"/>
        </w:numPr>
        <w:tabs>
          <w:tab w:val="left" w:pos="425"/>
        </w:tabs>
        <w:spacing w:before="120"/>
        <w:rPr>
          <w:rFonts w:eastAsia="Calibri"/>
          <w:lang w:val="en-AU"/>
        </w:rPr>
      </w:pPr>
      <w:r w:rsidRPr="00F831C5">
        <w:rPr>
          <w:rFonts w:eastAsia="Calibri"/>
          <w:lang w:val="en-AU"/>
        </w:rPr>
        <w:t>Use your model to predict the ASX100 from the Dow Jones for the first trading day of the following month. Comment on your prediction.</w:t>
      </w:r>
    </w:p>
    <w:p w14:paraId="5495D7D8" w14:textId="77777777" w:rsidR="00762B9A" w:rsidRDefault="00762B9A" w:rsidP="00762B9A">
      <w:pPr>
        <w:pStyle w:val="VCAAnumbers"/>
        <w:numPr>
          <w:ilvl w:val="0"/>
          <w:numId w:val="28"/>
        </w:numPr>
        <w:tabs>
          <w:tab w:val="left" w:pos="425"/>
        </w:tabs>
        <w:spacing w:before="120"/>
        <w:rPr>
          <w:rFonts w:eastAsia="Calibri"/>
          <w:lang w:val="en-AU"/>
        </w:rPr>
      </w:pPr>
      <w:r>
        <w:rPr>
          <w:rFonts w:eastAsia="Calibri"/>
          <w:lang w:val="en-AU"/>
        </w:rPr>
        <w:t>Investigate the relationship between the ASX100 and the Hang Sen for a calendar month.</w:t>
      </w:r>
    </w:p>
    <w:p w14:paraId="1386508A" w14:textId="77777777" w:rsidR="00762B9A" w:rsidRDefault="00762B9A" w:rsidP="00762B9A">
      <w:pPr>
        <w:pStyle w:val="VCAAnumbers"/>
        <w:numPr>
          <w:ilvl w:val="1"/>
          <w:numId w:val="28"/>
        </w:numPr>
        <w:tabs>
          <w:tab w:val="left" w:pos="425"/>
        </w:tabs>
        <w:spacing w:before="120"/>
        <w:rPr>
          <w:rFonts w:eastAsia="Calibri"/>
          <w:lang w:val="en-AU"/>
        </w:rPr>
      </w:pPr>
      <w:r w:rsidRPr="00947CA7">
        <w:rPr>
          <w:rFonts w:eastAsia="Calibri"/>
          <w:lang w:val="en-AU"/>
        </w:rPr>
        <w:t xml:space="preserve">Draw a scatterplot of the </w:t>
      </w:r>
      <w:r>
        <w:rPr>
          <w:rFonts w:eastAsia="Calibri"/>
          <w:lang w:val="en-AU"/>
        </w:rPr>
        <w:t>ASX100 against the Hang Sen</w:t>
      </w:r>
      <w:r w:rsidRPr="00947CA7">
        <w:rPr>
          <w:rFonts w:eastAsia="Calibri"/>
          <w:lang w:val="en-AU"/>
        </w:rPr>
        <w:t xml:space="preserve">, </w:t>
      </w:r>
      <w:r>
        <w:rPr>
          <w:rFonts w:eastAsia="Calibri"/>
          <w:lang w:val="en-AU"/>
        </w:rPr>
        <w:t>and describe it in terms of direction, form and strength.</w:t>
      </w:r>
    </w:p>
    <w:p w14:paraId="22CC7429" w14:textId="77777777" w:rsidR="00762B9A" w:rsidRDefault="00762B9A" w:rsidP="00762B9A">
      <w:pPr>
        <w:pStyle w:val="VCAAnumbers"/>
        <w:numPr>
          <w:ilvl w:val="1"/>
          <w:numId w:val="28"/>
        </w:numPr>
        <w:tabs>
          <w:tab w:val="left" w:pos="425"/>
        </w:tabs>
        <w:spacing w:before="120"/>
        <w:rPr>
          <w:rFonts w:eastAsia="Calibri"/>
          <w:lang w:val="en-AU"/>
        </w:rPr>
      </w:pPr>
      <w:r>
        <w:rPr>
          <w:rFonts w:eastAsia="Calibri"/>
          <w:lang w:val="en-AU"/>
        </w:rPr>
        <w:t>Determine the correlation and coefficient of determination, and interpret these measures.</w:t>
      </w:r>
    </w:p>
    <w:p w14:paraId="1890FAF3" w14:textId="77777777" w:rsidR="00762B9A" w:rsidRDefault="00762B9A" w:rsidP="00762B9A">
      <w:pPr>
        <w:pStyle w:val="VCAAnumbers"/>
        <w:numPr>
          <w:ilvl w:val="1"/>
          <w:numId w:val="28"/>
        </w:numPr>
        <w:tabs>
          <w:tab w:val="left" w:pos="425"/>
        </w:tabs>
        <w:spacing w:before="120"/>
        <w:rPr>
          <w:rFonts w:eastAsia="Calibri"/>
          <w:lang w:val="en-AU"/>
        </w:rPr>
      </w:pPr>
      <w:r w:rsidRPr="00F831C5">
        <w:rPr>
          <w:rFonts w:eastAsia="Calibri"/>
          <w:lang w:val="en-AU"/>
        </w:rPr>
        <w:t xml:space="preserve">Determine the equation of the regression line, draw the regression line on the scatterplot, and interpret the intercept and slope in terms of the ASX and the </w:t>
      </w:r>
      <w:r>
        <w:rPr>
          <w:rFonts w:eastAsia="Calibri"/>
          <w:lang w:val="en-AU"/>
        </w:rPr>
        <w:t>Hang Sen</w:t>
      </w:r>
      <w:r w:rsidRPr="00F831C5">
        <w:rPr>
          <w:rFonts w:eastAsia="Calibri"/>
          <w:lang w:val="en-AU"/>
        </w:rPr>
        <w:t>.</w:t>
      </w:r>
    </w:p>
    <w:p w14:paraId="0CF7FCA5" w14:textId="77777777" w:rsidR="00762B9A" w:rsidRDefault="00762B9A" w:rsidP="00762B9A">
      <w:pPr>
        <w:pStyle w:val="VCAAnumbers"/>
        <w:numPr>
          <w:ilvl w:val="1"/>
          <w:numId w:val="28"/>
        </w:numPr>
        <w:tabs>
          <w:tab w:val="left" w:pos="425"/>
        </w:tabs>
        <w:spacing w:before="120"/>
        <w:rPr>
          <w:rFonts w:eastAsia="Calibri"/>
          <w:lang w:val="en-AU"/>
        </w:rPr>
      </w:pPr>
      <w:r w:rsidRPr="00F831C5">
        <w:rPr>
          <w:rFonts w:eastAsia="Calibri"/>
          <w:lang w:val="en-AU"/>
        </w:rPr>
        <w:t xml:space="preserve">Use your model to predict the ASX100 from the </w:t>
      </w:r>
      <w:r>
        <w:rPr>
          <w:rFonts w:eastAsia="Calibri"/>
          <w:lang w:val="en-AU"/>
        </w:rPr>
        <w:t>Hang Sen</w:t>
      </w:r>
      <w:r w:rsidRPr="00F831C5">
        <w:rPr>
          <w:rFonts w:eastAsia="Calibri"/>
          <w:lang w:val="en-AU"/>
        </w:rPr>
        <w:t xml:space="preserve"> for the first trading day of the following month. Comment on your prediction.</w:t>
      </w:r>
    </w:p>
    <w:p w14:paraId="20A3FA8B" w14:textId="77777777" w:rsidR="00762B9A" w:rsidRDefault="00762B9A" w:rsidP="00762B9A">
      <w:pPr>
        <w:pStyle w:val="VCAAnumbers"/>
        <w:numPr>
          <w:ilvl w:val="0"/>
          <w:numId w:val="28"/>
        </w:numPr>
        <w:tabs>
          <w:tab w:val="left" w:pos="425"/>
        </w:tabs>
        <w:spacing w:before="120"/>
        <w:ind w:left="426" w:hanging="426"/>
        <w:rPr>
          <w:rFonts w:eastAsia="Calibri"/>
          <w:lang w:val="en-AU"/>
        </w:rPr>
      </w:pPr>
      <w:r>
        <w:rPr>
          <w:rFonts w:eastAsia="Calibri"/>
          <w:lang w:val="en-AU"/>
        </w:rPr>
        <w:t>Which of these measures, the Dow or the Hang Sen, would you expect to be on average a better predictor of the ASX100? Give reasons for your choice.</w:t>
      </w:r>
    </w:p>
    <w:p w14:paraId="59E2A3EC" w14:textId="77777777" w:rsidR="00762B9A" w:rsidRPr="00762B9A" w:rsidRDefault="00762B9A">
      <w:pPr>
        <w:rPr>
          <w:rFonts w:ascii="Arial" w:hAnsi="Arial" w:cs="Arial"/>
          <w:sz w:val="20"/>
          <w:szCs w:val="20"/>
          <w:lang w:val="en" w:eastAsia="en-AU"/>
        </w:rPr>
      </w:pPr>
      <w:r>
        <w:br w:type="page"/>
      </w:r>
    </w:p>
    <w:p w14:paraId="29AC953F" w14:textId="3AE40D65" w:rsidR="00762B9A" w:rsidRPr="00F831C5" w:rsidRDefault="00762B9A" w:rsidP="00762B9A">
      <w:pPr>
        <w:pStyle w:val="VCAAHeading4"/>
      </w:pPr>
      <w:r>
        <w:lastRenderedPageBreak/>
        <w:t>Component 3</w:t>
      </w:r>
    </w:p>
    <w:p w14:paraId="5CE665BB" w14:textId="77777777" w:rsidR="00762B9A" w:rsidRDefault="00762B9A" w:rsidP="00762B9A">
      <w:pPr>
        <w:pStyle w:val="VCAAbody"/>
        <w:rPr>
          <w:lang w:val="en-AU"/>
        </w:rPr>
      </w:pPr>
      <w:r>
        <w:rPr>
          <w:lang w:val="en-AU"/>
        </w:rPr>
        <w:t>Would the model be improved if it was adjusted to reflect the time difference between Australia and the US?</w:t>
      </w:r>
    </w:p>
    <w:p w14:paraId="0DD99A97" w14:textId="77777777" w:rsidR="00762B9A" w:rsidRDefault="00762B9A" w:rsidP="00762B9A">
      <w:pPr>
        <w:pStyle w:val="VCAAnumbers"/>
        <w:numPr>
          <w:ilvl w:val="0"/>
          <w:numId w:val="19"/>
        </w:numPr>
        <w:spacing w:before="120"/>
        <w:ind w:left="426" w:hanging="426"/>
        <w:rPr>
          <w:rFonts w:eastAsia="Calibri"/>
          <w:lang w:val="en-AU"/>
        </w:rPr>
      </w:pPr>
      <w:r>
        <w:rPr>
          <w:rFonts w:eastAsia="Calibri"/>
          <w:lang w:val="en-AU"/>
        </w:rPr>
        <w:t>Make an appropriate adjustment to the ASX100 data to reflect this time difference.</w:t>
      </w:r>
    </w:p>
    <w:p w14:paraId="700C5CA8" w14:textId="77777777" w:rsidR="00762B9A" w:rsidRDefault="00762B9A" w:rsidP="00762B9A">
      <w:pPr>
        <w:pStyle w:val="VCAAnumbers"/>
        <w:numPr>
          <w:ilvl w:val="0"/>
          <w:numId w:val="19"/>
        </w:numPr>
        <w:spacing w:before="120"/>
        <w:ind w:left="426" w:hanging="426"/>
        <w:rPr>
          <w:rFonts w:eastAsia="Calibri"/>
          <w:lang w:val="en-AU"/>
        </w:rPr>
      </w:pPr>
      <w:r w:rsidRPr="00D21976">
        <w:rPr>
          <w:rFonts w:eastAsia="Calibri"/>
          <w:lang w:val="en-AU"/>
        </w:rPr>
        <w:t xml:space="preserve">Construct a scatterplot of the adjusted </w:t>
      </w:r>
      <w:r>
        <w:rPr>
          <w:rFonts w:eastAsia="Calibri"/>
          <w:lang w:val="en-AU"/>
        </w:rPr>
        <w:t>ASX100 against the Dow Jones</w:t>
      </w:r>
      <w:r w:rsidRPr="00947CA7">
        <w:rPr>
          <w:rFonts w:eastAsia="Calibri"/>
          <w:lang w:val="en-AU"/>
        </w:rPr>
        <w:t xml:space="preserve">, </w:t>
      </w:r>
      <w:r>
        <w:rPr>
          <w:rFonts w:eastAsia="Calibri"/>
          <w:lang w:val="en-AU"/>
        </w:rPr>
        <w:t>and describe it in terms of direction, form and strength.</w:t>
      </w:r>
    </w:p>
    <w:p w14:paraId="254B9603" w14:textId="77777777" w:rsidR="00762B9A" w:rsidRPr="00D21976" w:rsidRDefault="00762B9A" w:rsidP="00762B9A">
      <w:pPr>
        <w:pStyle w:val="VCAAnumbers"/>
        <w:numPr>
          <w:ilvl w:val="0"/>
          <w:numId w:val="19"/>
        </w:numPr>
        <w:spacing w:before="120"/>
        <w:ind w:left="426" w:hanging="426"/>
        <w:rPr>
          <w:rFonts w:eastAsia="Calibri"/>
          <w:lang w:val="en-AU"/>
        </w:rPr>
      </w:pPr>
      <w:r w:rsidRPr="00D21976">
        <w:rPr>
          <w:rFonts w:eastAsia="Calibri"/>
          <w:lang w:val="en-AU"/>
        </w:rPr>
        <w:t>Determine the correlation and coefficient of determination, and interpret these measures.</w:t>
      </w:r>
    </w:p>
    <w:p w14:paraId="5FC6CA07" w14:textId="77777777" w:rsidR="00762B9A" w:rsidRPr="001A54DE" w:rsidRDefault="00762B9A" w:rsidP="00762B9A">
      <w:pPr>
        <w:pStyle w:val="VCAAnumbers"/>
        <w:numPr>
          <w:ilvl w:val="0"/>
          <w:numId w:val="19"/>
        </w:numPr>
        <w:spacing w:before="120"/>
        <w:ind w:left="426" w:hanging="426"/>
        <w:rPr>
          <w:rFonts w:eastAsia="Calibri"/>
          <w:lang w:val="en-AU"/>
        </w:rPr>
      </w:pPr>
      <w:r>
        <w:rPr>
          <w:rFonts w:eastAsia="Calibri"/>
          <w:lang w:val="en-AU"/>
        </w:rPr>
        <w:t>Has adjusting the data improved the model?</w:t>
      </w:r>
    </w:p>
    <w:p w14:paraId="462F5FD1" w14:textId="2D0C901D" w:rsidR="00762B9A" w:rsidRPr="000D5CB7" w:rsidRDefault="00762B9A" w:rsidP="00762B9A">
      <w:pPr>
        <w:pStyle w:val="VCAAHeading3"/>
        <w:rPr>
          <w:lang w:val="en-AU"/>
        </w:rPr>
      </w:pPr>
      <w:r w:rsidRPr="000D5CB7">
        <w:rPr>
          <w:lang w:val="en-AU"/>
        </w:rPr>
        <w:t xml:space="preserve">Areas of </w:t>
      </w:r>
      <w:r>
        <w:rPr>
          <w:lang w:val="en-AU"/>
        </w:rPr>
        <w:t>s</w:t>
      </w:r>
      <w:r w:rsidRPr="000D5CB7">
        <w:rPr>
          <w:lang w:val="en-AU"/>
        </w:rPr>
        <w:t>tudy</w:t>
      </w:r>
    </w:p>
    <w:p w14:paraId="227BA494" w14:textId="5457EB3B" w:rsidR="00762B9A" w:rsidRDefault="00762B9A" w:rsidP="00762B9A">
      <w:pPr>
        <w:pStyle w:val="VCAAnumbers"/>
        <w:numPr>
          <w:ilvl w:val="0"/>
          <w:numId w:val="0"/>
        </w:numPr>
        <w:rPr>
          <w:rFonts w:eastAsia="Calibri"/>
          <w:lang w:val="en-AU"/>
        </w:rPr>
      </w:pPr>
      <w:r>
        <w:rPr>
          <w:rFonts w:eastAsia="Calibri"/>
          <w:lang w:val="en-AU"/>
        </w:rPr>
        <w:t>The following content from the areas of study is addressed through this task.</w:t>
      </w:r>
    </w:p>
    <w:tbl>
      <w:tblPr>
        <w:tblStyle w:val="TableGrid"/>
        <w:tblW w:w="0" w:type="auto"/>
        <w:tblLook w:val="04A0" w:firstRow="1" w:lastRow="0" w:firstColumn="1" w:lastColumn="0" w:noHBand="0" w:noVBand="1"/>
      </w:tblPr>
      <w:tblGrid>
        <w:gridCol w:w="3964"/>
        <w:gridCol w:w="2552"/>
        <w:gridCol w:w="2552"/>
      </w:tblGrid>
      <w:tr w:rsidR="00762B9A" w:rsidRPr="00485F20" w14:paraId="192D35E9" w14:textId="77777777" w:rsidTr="00E549AD">
        <w:tc>
          <w:tcPr>
            <w:tcW w:w="9068" w:type="dxa"/>
            <w:gridSpan w:val="3"/>
            <w:shd w:val="clear" w:color="auto" w:fill="0F7EB4"/>
            <w:vAlign w:val="center"/>
          </w:tcPr>
          <w:p w14:paraId="772D1FE3" w14:textId="77777777" w:rsidR="00762B9A" w:rsidRDefault="00762B9A" w:rsidP="00E549AD">
            <w:pPr>
              <w:pStyle w:val="VCAAtablecondensedheading"/>
              <w:rPr>
                <w:b/>
                <w:bCs/>
              </w:rPr>
            </w:pPr>
            <w:r>
              <w:rPr>
                <w:b/>
                <w:bCs/>
              </w:rPr>
              <w:t>Unit 3</w:t>
            </w:r>
          </w:p>
        </w:tc>
      </w:tr>
      <w:tr w:rsidR="00762B9A" w:rsidRPr="00485F20" w14:paraId="1CB89C00" w14:textId="77777777" w:rsidTr="00E549AD">
        <w:tc>
          <w:tcPr>
            <w:tcW w:w="3964" w:type="dxa"/>
            <w:shd w:val="clear" w:color="auto" w:fill="auto"/>
          </w:tcPr>
          <w:p w14:paraId="7679FB97" w14:textId="77777777" w:rsidR="00762B9A" w:rsidRPr="00485F20" w:rsidRDefault="00762B9A" w:rsidP="00E549AD">
            <w:pPr>
              <w:pStyle w:val="VCAAtablecondensed"/>
            </w:pPr>
            <w:r w:rsidRPr="00485F20">
              <w:rPr>
                <w:b/>
                <w:bCs/>
              </w:rPr>
              <w:t>Area of study</w:t>
            </w:r>
          </w:p>
        </w:tc>
        <w:tc>
          <w:tcPr>
            <w:tcW w:w="2552" w:type="dxa"/>
            <w:shd w:val="clear" w:color="auto" w:fill="auto"/>
          </w:tcPr>
          <w:p w14:paraId="40B5C8CA" w14:textId="77777777" w:rsidR="00762B9A" w:rsidRPr="00485F20" w:rsidRDefault="00762B9A" w:rsidP="00E549AD">
            <w:pPr>
              <w:pStyle w:val="VCAAtablecondensed"/>
              <w:rPr>
                <w:lang w:val="en-AU"/>
              </w:rPr>
            </w:pPr>
            <w:r>
              <w:rPr>
                <w:b/>
                <w:bCs/>
                <w:lang w:val="en-AU"/>
              </w:rPr>
              <w:t>Topics</w:t>
            </w:r>
          </w:p>
        </w:tc>
        <w:tc>
          <w:tcPr>
            <w:tcW w:w="2552" w:type="dxa"/>
          </w:tcPr>
          <w:p w14:paraId="18E4CDD1" w14:textId="77777777" w:rsidR="00762B9A" w:rsidRPr="00485F20" w:rsidRDefault="00762B9A" w:rsidP="00E549AD">
            <w:pPr>
              <w:pStyle w:val="VCAAtablecondensed"/>
              <w:rPr>
                <w:b/>
                <w:bCs/>
                <w:lang w:val="en-AU"/>
              </w:rPr>
            </w:pPr>
            <w:r>
              <w:rPr>
                <w:b/>
                <w:bCs/>
                <w:lang w:val="en-AU"/>
              </w:rPr>
              <w:t>Content dot points</w:t>
            </w:r>
          </w:p>
        </w:tc>
      </w:tr>
      <w:tr w:rsidR="00762B9A" w14:paraId="129996FE" w14:textId="77777777" w:rsidTr="00E549AD">
        <w:tc>
          <w:tcPr>
            <w:tcW w:w="3964" w:type="dxa"/>
          </w:tcPr>
          <w:p w14:paraId="71457401" w14:textId="1BD2493F" w:rsidR="00762B9A" w:rsidRDefault="00762B9A" w:rsidP="00762B9A">
            <w:pPr>
              <w:pStyle w:val="VCAAtablecondensed"/>
            </w:pPr>
            <w:r w:rsidRPr="00796D21">
              <w:rPr>
                <w:lang w:val="en-AU"/>
              </w:rPr>
              <w:t>Data analysis, probability and statistics</w:t>
            </w:r>
          </w:p>
        </w:tc>
        <w:tc>
          <w:tcPr>
            <w:tcW w:w="2552" w:type="dxa"/>
          </w:tcPr>
          <w:p w14:paraId="4A7586D8" w14:textId="77777777" w:rsidR="00762B9A" w:rsidRPr="00A83AE0" w:rsidRDefault="00762B9A" w:rsidP="00762B9A">
            <w:pPr>
              <w:pStyle w:val="VCAAtablecondensed"/>
              <w:rPr>
                <w:lang w:val="en-AU"/>
              </w:rPr>
            </w:pPr>
            <w:r w:rsidRPr="00A83AE0">
              <w:rPr>
                <w:lang w:val="en-AU"/>
              </w:rPr>
              <w:t>Investigating associations between two variables</w:t>
            </w:r>
          </w:p>
          <w:p w14:paraId="19C2F24D" w14:textId="77777777" w:rsidR="00762B9A" w:rsidRPr="00A83AE0" w:rsidRDefault="00762B9A" w:rsidP="00762B9A">
            <w:pPr>
              <w:pStyle w:val="VCAAtablecondensed"/>
              <w:rPr>
                <w:lang w:val="en-AU"/>
              </w:rPr>
            </w:pPr>
            <w:r w:rsidRPr="00A83AE0">
              <w:rPr>
                <w:lang w:val="en-AU"/>
              </w:rPr>
              <w:t>Investigating and modelling linear associations</w:t>
            </w:r>
          </w:p>
          <w:p w14:paraId="37C7DA68" w14:textId="66D621AD" w:rsidR="00762B9A" w:rsidRDefault="00762B9A" w:rsidP="00762B9A">
            <w:pPr>
              <w:pStyle w:val="VCAAtablecondensed"/>
              <w:rPr>
                <w:lang w:val="en-AU"/>
              </w:rPr>
            </w:pPr>
            <w:r w:rsidRPr="00A83AE0">
              <w:rPr>
                <w:lang w:val="en-AU"/>
              </w:rPr>
              <w:t>Investigating and modelling time series data</w:t>
            </w:r>
          </w:p>
        </w:tc>
        <w:tc>
          <w:tcPr>
            <w:tcW w:w="2552" w:type="dxa"/>
          </w:tcPr>
          <w:p w14:paraId="31B89396" w14:textId="77777777" w:rsidR="00762B9A" w:rsidRPr="00B91FF7" w:rsidRDefault="00762B9A" w:rsidP="00762B9A">
            <w:pPr>
              <w:pStyle w:val="VCAAtablecondensed"/>
              <w:rPr>
                <w:lang w:val="en-AU"/>
              </w:rPr>
            </w:pPr>
            <w:r w:rsidRPr="00B91FF7">
              <w:rPr>
                <w:lang w:val="en-AU"/>
              </w:rPr>
              <w:t>4, 5, 6</w:t>
            </w:r>
          </w:p>
          <w:p w14:paraId="1102B93D" w14:textId="77777777" w:rsidR="00762B9A" w:rsidRDefault="00762B9A" w:rsidP="00762B9A">
            <w:pPr>
              <w:pStyle w:val="VCAAtablecondensed"/>
              <w:spacing w:after="0"/>
              <w:rPr>
                <w:lang w:val="en-AU"/>
              </w:rPr>
            </w:pPr>
          </w:p>
          <w:p w14:paraId="3089012C" w14:textId="77777777" w:rsidR="00762B9A" w:rsidRPr="00B91FF7" w:rsidRDefault="00762B9A" w:rsidP="00762B9A">
            <w:pPr>
              <w:pStyle w:val="VCAAtablecondensed"/>
              <w:spacing w:before="0"/>
              <w:rPr>
                <w:lang w:val="en-AU"/>
              </w:rPr>
            </w:pPr>
            <w:r w:rsidRPr="00B91FF7">
              <w:rPr>
                <w:lang w:val="en-AU"/>
              </w:rPr>
              <w:t>1, 2, 3</w:t>
            </w:r>
            <w:r>
              <w:rPr>
                <w:lang w:val="en-AU"/>
              </w:rPr>
              <w:t>, 4, 5, 6, 7, 8</w:t>
            </w:r>
          </w:p>
          <w:p w14:paraId="12FECEAD" w14:textId="77777777" w:rsidR="00762B9A" w:rsidRDefault="00762B9A" w:rsidP="00762B9A">
            <w:pPr>
              <w:pStyle w:val="VCAAtablecondensed"/>
              <w:spacing w:after="0"/>
              <w:rPr>
                <w:lang w:val="en-AU"/>
              </w:rPr>
            </w:pPr>
          </w:p>
          <w:p w14:paraId="071D8590" w14:textId="544B8695" w:rsidR="00762B9A" w:rsidRDefault="00762B9A" w:rsidP="00762B9A">
            <w:pPr>
              <w:pStyle w:val="VCAAtablecondensed"/>
              <w:spacing w:before="0"/>
            </w:pPr>
            <w:r w:rsidRPr="00B91FF7">
              <w:rPr>
                <w:lang w:val="en-AU"/>
              </w:rPr>
              <w:t>1, 2, 3</w:t>
            </w:r>
          </w:p>
        </w:tc>
      </w:tr>
    </w:tbl>
    <w:p w14:paraId="0C320B00" w14:textId="77777777" w:rsidR="00762B9A" w:rsidRPr="00B96502" w:rsidRDefault="00762B9A" w:rsidP="00762B9A">
      <w:pPr>
        <w:pStyle w:val="VCAAHeading3"/>
        <w:rPr>
          <w:lang w:val="en-AU"/>
        </w:rPr>
      </w:pPr>
      <w:r w:rsidRPr="00B96502">
        <w:rPr>
          <w:lang w:val="en-AU"/>
        </w:rPr>
        <w:t>Outcomes</w:t>
      </w:r>
    </w:p>
    <w:p w14:paraId="76DCB6D2" w14:textId="05615CAD" w:rsidR="00762B9A" w:rsidRDefault="00762B9A" w:rsidP="00762B9A">
      <w:pPr>
        <w:pStyle w:val="VCAAnumbers"/>
        <w:numPr>
          <w:ilvl w:val="0"/>
          <w:numId w:val="0"/>
        </w:numPr>
        <w:rPr>
          <w:rFonts w:eastAsia="Calibri"/>
          <w:lang w:val="en-AU"/>
        </w:rPr>
      </w:pPr>
      <w:r>
        <w:rPr>
          <w:rFonts w:eastAsia="Calibri"/>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762B9A" w:rsidRPr="00FA2380" w14:paraId="2A9C90C3" w14:textId="77777777" w:rsidTr="00E549AD">
        <w:tc>
          <w:tcPr>
            <w:tcW w:w="8926" w:type="dxa"/>
            <w:gridSpan w:val="3"/>
            <w:shd w:val="clear" w:color="auto" w:fill="0F7EB4"/>
            <w:vAlign w:val="center"/>
          </w:tcPr>
          <w:p w14:paraId="0F0E1732" w14:textId="77777777" w:rsidR="00762B9A" w:rsidRPr="00FA2380" w:rsidRDefault="00762B9A" w:rsidP="00E549AD">
            <w:pPr>
              <w:pStyle w:val="VCAAtablecondensedheading"/>
              <w:rPr>
                <w:b/>
                <w:bCs/>
              </w:rPr>
            </w:pPr>
            <w:r>
              <w:rPr>
                <w:b/>
                <w:lang w:val="en-AU"/>
              </w:rPr>
              <w:t>Unit 3</w:t>
            </w:r>
          </w:p>
        </w:tc>
      </w:tr>
      <w:tr w:rsidR="00762B9A" w:rsidRPr="00FA2380" w14:paraId="19C761E3" w14:textId="77777777" w:rsidTr="00E549AD">
        <w:tc>
          <w:tcPr>
            <w:tcW w:w="2975" w:type="dxa"/>
            <w:shd w:val="clear" w:color="auto" w:fill="auto"/>
          </w:tcPr>
          <w:p w14:paraId="536A5A23" w14:textId="77777777" w:rsidR="00762B9A" w:rsidRPr="003D28A8" w:rsidRDefault="00762B9A" w:rsidP="00E549AD">
            <w:pPr>
              <w:pStyle w:val="VCAAtablecondensed"/>
              <w:rPr>
                <w:b/>
                <w:bCs/>
                <w:lang w:val="en-AU"/>
              </w:rPr>
            </w:pPr>
            <w:r w:rsidRPr="003D28A8">
              <w:rPr>
                <w:b/>
                <w:bCs/>
                <w:lang w:val="en-AU"/>
              </w:rPr>
              <w:t>Outcome</w:t>
            </w:r>
          </w:p>
        </w:tc>
        <w:tc>
          <w:tcPr>
            <w:tcW w:w="2975" w:type="dxa"/>
            <w:shd w:val="clear" w:color="auto" w:fill="auto"/>
          </w:tcPr>
          <w:p w14:paraId="3210CDA1" w14:textId="77777777" w:rsidR="00762B9A" w:rsidRPr="003D28A8" w:rsidRDefault="00762B9A" w:rsidP="00E549AD">
            <w:pPr>
              <w:pStyle w:val="VCAAtablecondensed"/>
              <w:rPr>
                <w:b/>
                <w:bCs/>
                <w:lang w:val="en-AU"/>
              </w:rPr>
            </w:pPr>
            <w:r w:rsidRPr="003D28A8">
              <w:rPr>
                <w:b/>
                <w:bCs/>
                <w:lang w:val="en-AU"/>
              </w:rPr>
              <w:t>Key knowledge dot point</w:t>
            </w:r>
          </w:p>
        </w:tc>
        <w:tc>
          <w:tcPr>
            <w:tcW w:w="2976" w:type="dxa"/>
            <w:shd w:val="clear" w:color="auto" w:fill="auto"/>
          </w:tcPr>
          <w:p w14:paraId="49AD55F5" w14:textId="77777777" w:rsidR="00762B9A" w:rsidRPr="003D28A8" w:rsidRDefault="00762B9A" w:rsidP="00E549AD">
            <w:pPr>
              <w:pStyle w:val="VCAAtablecondensed"/>
              <w:rPr>
                <w:b/>
                <w:bCs/>
                <w:lang w:val="en-AU"/>
              </w:rPr>
            </w:pPr>
            <w:r w:rsidRPr="003D28A8">
              <w:rPr>
                <w:b/>
                <w:bCs/>
                <w:lang w:val="en-AU"/>
              </w:rPr>
              <w:t>Key skills dot point</w:t>
            </w:r>
          </w:p>
        </w:tc>
      </w:tr>
      <w:tr w:rsidR="00762B9A" w14:paraId="4E22F672" w14:textId="77777777" w:rsidTr="00E549AD">
        <w:tc>
          <w:tcPr>
            <w:tcW w:w="2975" w:type="dxa"/>
          </w:tcPr>
          <w:p w14:paraId="1102F8B1" w14:textId="0EACFCBB" w:rsidR="00762B9A" w:rsidRPr="003D28A8" w:rsidRDefault="00762B9A" w:rsidP="00762B9A">
            <w:pPr>
              <w:pStyle w:val="VCAAtablecondensed"/>
            </w:pPr>
            <w:r w:rsidRPr="00B91FF7">
              <w:rPr>
                <w:lang w:val="en-AU"/>
              </w:rPr>
              <w:t>1</w:t>
            </w:r>
          </w:p>
        </w:tc>
        <w:tc>
          <w:tcPr>
            <w:tcW w:w="2975" w:type="dxa"/>
          </w:tcPr>
          <w:p w14:paraId="3A0B4CC2" w14:textId="44C5989C" w:rsidR="00762B9A" w:rsidRPr="003D28A8" w:rsidRDefault="00762B9A" w:rsidP="00762B9A">
            <w:pPr>
              <w:pStyle w:val="VCAAtablecondensed"/>
            </w:pPr>
            <w:r w:rsidRPr="00B91FF7">
              <w:rPr>
                <w:lang w:val="en-AU"/>
              </w:rPr>
              <w:t xml:space="preserve">1, 2, 4, 7, 8, 9, 10, </w:t>
            </w:r>
            <w:r>
              <w:rPr>
                <w:lang w:val="en-AU"/>
              </w:rPr>
              <w:t>11, 13</w:t>
            </w:r>
          </w:p>
        </w:tc>
        <w:tc>
          <w:tcPr>
            <w:tcW w:w="2976" w:type="dxa"/>
          </w:tcPr>
          <w:p w14:paraId="5E8C79A1" w14:textId="1F4AA863" w:rsidR="00762B9A" w:rsidRPr="003D28A8" w:rsidRDefault="00762B9A" w:rsidP="00762B9A">
            <w:pPr>
              <w:pStyle w:val="VCAAtablecondensed"/>
            </w:pPr>
            <w:r w:rsidRPr="00B91FF7">
              <w:rPr>
                <w:lang w:val="en-AU"/>
              </w:rPr>
              <w:t xml:space="preserve">2, </w:t>
            </w:r>
            <w:r>
              <w:rPr>
                <w:lang w:val="en-AU"/>
              </w:rPr>
              <w:t xml:space="preserve">3, </w:t>
            </w:r>
            <w:r w:rsidRPr="00B91FF7">
              <w:rPr>
                <w:lang w:val="en-AU"/>
              </w:rPr>
              <w:t xml:space="preserve">7, 8, </w:t>
            </w:r>
            <w:r>
              <w:rPr>
                <w:lang w:val="en-AU"/>
              </w:rPr>
              <w:t xml:space="preserve">9, </w:t>
            </w:r>
            <w:r w:rsidRPr="00B91FF7">
              <w:rPr>
                <w:lang w:val="en-AU"/>
              </w:rPr>
              <w:t>10, 11, 12, 1</w:t>
            </w:r>
            <w:r>
              <w:rPr>
                <w:lang w:val="en-AU"/>
              </w:rPr>
              <w:t>3</w:t>
            </w:r>
            <w:r w:rsidRPr="00B91FF7">
              <w:rPr>
                <w:lang w:val="en-AU"/>
              </w:rPr>
              <w:t>, 1</w:t>
            </w:r>
            <w:r>
              <w:rPr>
                <w:lang w:val="en-AU"/>
              </w:rPr>
              <w:t>4</w:t>
            </w:r>
            <w:r w:rsidRPr="00B91FF7">
              <w:rPr>
                <w:lang w:val="en-AU"/>
              </w:rPr>
              <w:t>, 18</w:t>
            </w:r>
          </w:p>
        </w:tc>
      </w:tr>
      <w:tr w:rsidR="00762B9A" w14:paraId="63546A54" w14:textId="77777777" w:rsidTr="00E549AD">
        <w:tc>
          <w:tcPr>
            <w:tcW w:w="2975" w:type="dxa"/>
          </w:tcPr>
          <w:p w14:paraId="2E554EE7" w14:textId="1367DEB9" w:rsidR="00762B9A" w:rsidRPr="003D28A8" w:rsidRDefault="00762B9A" w:rsidP="00762B9A">
            <w:pPr>
              <w:pStyle w:val="VCAAtablecondensed"/>
            </w:pPr>
            <w:r w:rsidRPr="00B91FF7">
              <w:rPr>
                <w:lang w:val="en-AU"/>
              </w:rPr>
              <w:t>2</w:t>
            </w:r>
          </w:p>
        </w:tc>
        <w:tc>
          <w:tcPr>
            <w:tcW w:w="2975" w:type="dxa"/>
          </w:tcPr>
          <w:p w14:paraId="19C0C571" w14:textId="0959B255" w:rsidR="00762B9A" w:rsidRPr="003D28A8" w:rsidRDefault="00762B9A" w:rsidP="00762B9A">
            <w:pPr>
              <w:pStyle w:val="VCAAtablecondensed"/>
            </w:pPr>
            <w:r>
              <w:rPr>
                <w:lang w:val="en-AU"/>
              </w:rPr>
              <w:t>1, 2, 3, 4</w:t>
            </w:r>
          </w:p>
        </w:tc>
        <w:tc>
          <w:tcPr>
            <w:tcW w:w="2976" w:type="dxa"/>
          </w:tcPr>
          <w:p w14:paraId="13634B82" w14:textId="17B7E7C5" w:rsidR="00762B9A" w:rsidRPr="003D28A8" w:rsidRDefault="00762B9A" w:rsidP="00762B9A">
            <w:pPr>
              <w:pStyle w:val="VCAAtablecondensed"/>
            </w:pPr>
            <w:r>
              <w:rPr>
                <w:lang w:val="en-AU"/>
              </w:rPr>
              <w:t>1, 4</w:t>
            </w:r>
          </w:p>
        </w:tc>
      </w:tr>
      <w:tr w:rsidR="00762B9A" w14:paraId="769F6F0B" w14:textId="77777777" w:rsidTr="00E549AD">
        <w:tc>
          <w:tcPr>
            <w:tcW w:w="2975" w:type="dxa"/>
          </w:tcPr>
          <w:p w14:paraId="388009E2" w14:textId="7AEA55C1" w:rsidR="00762B9A" w:rsidRPr="003D28A8" w:rsidRDefault="00762B9A" w:rsidP="00762B9A">
            <w:pPr>
              <w:pStyle w:val="VCAAtablecondensed"/>
            </w:pPr>
            <w:r w:rsidRPr="00B91FF7">
              <w:rPr>
                <w:lang w:val="en-AU"/>
              </w:rPr>
              <w:t>3</w:t>
            </w:r>
          </w:p>
        </w:tc>
        <w:tc>
          <w:tcPr>
            <w:tcW w:w="2975" w:type="dxa"/>
          </w:tcPr>
          <w:p w14:paraId="2307F620" w14:textId="1C761814" w:rsidR="00762B9A" w:rsidRPr="003D28A8" w:rsidRDefault="00762B9A" w:rsidP="00762B9A">
            <w:pPr>
              <w:pStyle w:val="VCAAtablecondensed"/>
            </w:pPr>
            <w:r>
              <w:rPr>
                <w:lang w:val="en-AU"/>
              </w:rPr>
              <w:t>1, 3, 4, 5, 6</w:t>
            </w:r>
          </w:p>
        </w:tc>
        <w:tc>
          <w:tcPr>
            <w:tcW w:w="2976" w:type="dxa"/>
          </w:tcPr>
          <w:p w14:paraId="0379E6FF" w14:textId="34946E61" w:rsidR="00762B9A" w:rsidRPr="003D28A8" w:rsidRDefault="00762B9A" w:rsidP="00762B9A">
            <w:pPr>
              <w:pStyle w:val="VCAAtablecondensed"/>
            </w:pPr>
            <w:r>
              <w:rPr>
                <w:lang w:val="en-AU"/>
              </w:rPr>
              <w:t>1, 3, 4, 5, 6, 7, 9, 10, 11, 12</w:t>
            </w:r>
          </w:p>
        </w:tc>
      </w:tr>
    </w:tbl>
    <w:p w14:paraId="032D0609" w14:textId="714D28AF" w:rsidR="00762B9A" w:rsidRDefault="00762B9A" w:rsidP="00762B9A">
      <w:pPr>
        <w:pStyle w:val="VCAAnumbers"/>
        <w:numPr>
          <w:ilvl w:val="0"/>
          <w:numId w:val="0"/>
        </w:numPr>
        <w:rPr>
          <w:rFonts w:eastAsia="Calibri"/>
          <w:lang w:val="en-AU"/>
        </w:rPr>
      </w:pPr>
    </w:p>
    <w:sectPr w:rsidR="00762B9A"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5D94C6" w:rsidR="00FD29D3" w:rsidRPr="00D86DE4" w:rsidRDefault="00762B9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2105A">
          <w:rPr>
            <w:color w:val="999999" w:themeColor="accent2"/>
          </w:rPr>
          <w:t>VCE General Mathematics Unit 3</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5"/>
  </w:num>
  <w:num w:numId="4">
    <w:abstractNumId w:val="19"/>
  </w:num>
  <w:num w:numId="5">
    <w:abstractNumId w:val="11"/>
  </w:num>
  <w:num w:numId="6">
    <w:abstractNumId w:val="13"/>
  </w:num>
  <w:num w:numId="7">
    <w:abstractNumId w:val="17"/>
  </w:num>
  <w:num w:numId="8">
    <w:abstractNumId w:val="21"/>
  </w:num>
  <w:num w:numId="9">
    <w:abstractNumId w:val="12"/>
  </w:num>
  <w:num w:numId="10">
    <w:abstractNumId w:val="3"/>
  </w:num>
  <w:num w:numId="11">
    <w:abstractNumId w:val="25"/>
  </w:num>
  <w:num w:numId="12">
    <w:abstractNumId w:val="15"/>
  </w:num>
  <w:num w:numId="13">
    <w:abstractNumId w:val="1"/>
  </w:num>
  <w:num w:numId="14">
    <w:abstractNumId w:val="9"/>
  </w:num>
  <w:num w:numId="15">
    <w:abstractNumId w:val="2"/>
  </w:num>
  <w:num w:numId="16">
    <w:abstractNumId w:val="27"/>
  </w:num>
  <w:num w:numId="17">
    <w:abstractNumId w:val="20"/>
  </w:num>
  <w:num w:numId="18">
    <w:abstractNumId w:val="7"/>
  </w:num>
  <w:num w:numId="19">
    <w:abstractNumId w:val="0"/>
  </w:num>
  <w:num w:numId="20">
    <w:abstractNumId w:val="8"/>
  </w:num>
  <w:num w:numId="21">
    <w:abstractNumId w:val="4"/>
  </w:num>
  <w:num w:numId="22">
    <w:abstractNumId w:val="24"/>
  </w:num>
  <w:num w:numId="23">
    <w:abstractNumId w:val="18"/>
  </w:num>
  <w:num w:numId="24">
    <w:abstractNumId w:val="23"/>
  </w:num>
  <w:num w:numId="25">
    <w:abstractNumId w:val="14"/>
  </w:num>
  <w:num w:numId="26">
    <w:abstractNumId w:val="26"/>
  </w:num>
  <w:num w:numId="27">
    <w:abstractNumId w:val="6"/>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A71F7"/>
    <w:rsid w:val="000D4E3B"/>
    <w:rsid w:val="000E2B81"/>
    <w:rsid w:val="000F09E4"/>
    <w:rsid w:val="000F16FD"/>
    <w:rsid w:val="000F5AAF"/>
    <w:rsid w:val="0012105A"/>
    <w:rsid w:val="00143520"/>
    <w:rsid w:val="001529AD"/>
    <w:rsid w:val="00153AD2"/>
    <w:rsid w:val="001779EA"/>
    <w:rsid w:val="00181204"/>
    <w:rsid w:val="001C7DE0"/>
    <w:rsid w:val="001D3246"/>
    <w:rsid w:val="002029F5"/>
    <w:rsid w:val="00213196"/>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F90"/>
    <w:rsid w:val="002E48C4"/>
    <w:rsid w:val="002E4FB5"/>
    <w:rsid w:val="00302FB8"/>
    <w:rsid w:val="00304EA1"/>
    <w:rsid w:val="00314D81"/>
    <w:rsid w:val="00315617"/>
    <w:rsid w:val="00322FC6"/>
    <w:rsid w:val="00340B9F"/>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D0B25"/>
    <w:rsid w:val="005D3D78"/>
    <w:rsid w:val="005E2EF0"/>
    <w:rsid w:val="005E4DF8"/>
    <w:rsid w:val="005F0486"/>
    <w:rsid w:val="005F4092"/>
    <w:rsid w:val="006002F7"/>
    <w:rsid w:val="00607C26"/>
    <w:rsid w:val="0061197D"/>
    <w:rsid w:val="0061630B"/>
    <w:rsid w:val="00624919"/>
    <w:rsid w:val="00654A3F"/>
    <w:rsid w:val="0068471E"/>
    <w:rsid w:val="00684F98"/>
    <w:rsid w:val="00685818"/>
    <w:rsid w:val="00693FFD"/>
    <w:rsid w:val="006C0948"/>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A13080"/>
    <w:rsid w:val="00A17661"/>
    <w:rsid w:val="00A24B2D"/>
    <w:rsid w:val="00A40966"/>
    <w:rsid w:val="00A921E0"/>
    <w:rsid w:val="00A922F4"/>
    <w:rsid w:val="00AA6397"/>
    <w:rsid w:val="00AD63F0"/>
    <w:rsid w:val="00AE2261"/>
    <w:rsid w:val="00AE5526"/>
    <w:rsid w:val="00AE59CB"/>
    <w:rsid w:val="00AF051B"/>
    <w:rsid w:val="00AF2753"/>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B50B3"/>
    <w:rsid w:val="00DC00DC"/>
    <w:rsid w:val="00DD4FB2"/>
    <w:rsid w:val="00DE1909"/>
    <w:rsid w:val="00DE51DB"/>
    <w:rsid w:val="00DE777F"/>
    <w:rsid w:val="00E11872"/>
    <w:rsid w:val="00E148EE"/>
    <w:rsid w:val="00E23F1D"/>
    <w:rsid w:val="00E30E05"/>
    <w:rsid w:val="00E36361"/>
    <w:rsid w:val="00E4328F"/>
    <w:rsid w:val="00E55AE9"/>
    <w:rsid w:val="00E850AC"/>
    <w:rsid w:val="00EA196E"/>
    <w:rsid w:val="00EA2D2C"/>
    <w:rsid w:val="00EB0C84"/>
    <w:rsid w:val="00EC70E6"/>
    <w:rsid w:val="00F17FDE"/>
    <w:rsid w:val="00F3170F"/>
    <w:rsid w:val="00F37934"/>
    <w:rsid w:val="00F40D53"/>
    <w:rsid w:val="00F4525C"/>
    <w:rsid w:val="00F50D86"/>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sj.com/market-data/quotes/index/GDOW/historical-pr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sj.com/market-data/quotes/index/AU/XJO/historical-pri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ney.visualcapitalist.com/all-of-the-worlds-stock-exchanges-by-siz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sj.com/market-data/quotes/index/HK/HSI/historical-pri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F1539"/>
    <w:rsid w:val="00422668"/>
    <w:rsid w:val="004A729F"/>
    <w:rsid w:val="00667641"/>
    <w:rsid w:val="007F01C9"/>
    <w:rsid w:val="00834D62"/>
    <w:rsid w:val="009325D2"/>
    <w:rsid w:val="00DA5894"/>
    <w:rsid w:val="00E14341"/>
    <w:rsid w:val="00E27BA3"/>
    <w:rsid w:val="00FB5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2665579-82C2-4BC8-83D8-35ABB3A8E4A1}"/>
</file>

<file path=docProps/app.xml><?xml version="1.0" encoding="utf-8"?>
<Properties xmlns="http://schemas.openxmlformats.org/officeDocument/2006/extended-properties" xmlns:vt="http://schemas.openxmlformats.org/officeDocument/2006/docPropsVTypes">
  <Template>Normal.dotm</Template>
  <TotalTime>6</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General Mathematics Unit 3</vt:lpstr>
    </vt:vector>
  </TitlesOfParts>
  <Company>Victorian Curriculum and Assessment Authority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3</dc:title>
  <dc:subject>VCE Mathematical Methods</dc:subject>
  <dc:creator>vcaa@education.vic.gov.au</dc:creator>
  <cp:keywords>general, mathematics, VCE, sample, application, task, data, analysis, stock exchange, Unit 3 AoS1</cp:keywords>
  <cp:lastModifiedBy>Julie Coleman</cp:lastModifiedBy>
  <cp:revision>3</cp:revision>
  <cp:lastPrinted>2015-05-15T02:36:00Z</cp:lastPrinted>
  <dcterms:created xsi:type="dcterms:W3CDTF">2022-12-21T03:30:00Z</dcterms:created>
  <dcterms:modified xsi:type="dcterms:W3CDTF">2022-12-21T03:35:00Z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