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28D14BA"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FB3FDD">
        <w:t>3</w:t>
      </w:r>
    </w:p>
    <w:p w14:paraId="74E62D52" w14:textId="3C0AB0AF" w:rsidR="00243F0D" w:rsidRPr="00DE777F" w:rsidRDefault="00962404" w:rsidP="00DB50B3">
      <w:pPr>
        <w:pStyle w:val="VCAAHeading1"/>
        <w:spacing w:before="120"/>
      </w:pPr>
      <w:bookmarkStart w:id="0" w:name="TemplateOverview"/>
      <w:bookmarkEnd w:id="0"/>
      <w:r w:rsidRPr="00DE777F">
        <w:t>Area of Study</w:t>
      </w:r>
      <w:r w:rsidR="0077468E" w:rsidRPr="00DE777F">
        <w:t xml:space="preserve"> </w:t>
      </w:r>
      <w:r w:rsidR="00FB3FDD">
        <w:t>2</w:t>
      </w:r>
      <w:r w:rsidR="00DE777F" w:rsidRPr="00DE777F">
        <w:t xml:space="preserve">: </w:t>
      </w:r>
      <w:r w:rsidR="003D3F04">
        <w:t>S</w:t>
      </w:r>
      <w:r w:rsidR="00FB3FDD" w:rsidRPr="00F048B6">
        <w:t>ample</w:t>
      </w:r>
      <w:r w:rsidR="00FB3FDD" w:rsidRPr="002A1FFA">
        <w:rPr>
          <w:lang w:val="en-AU"/>
        </w:rPr>
        <w:t xml:space="preserve"> modelling</w:t>
      </w:r>
      <w:r w:rsidR="00FB3FDD">
        <w:t xml:space="preserve"> or problem-solving task: Investments</w:t>
      </w:r>
    </w:p>
    <w:p w14:paraId="5A798B74" w14:textId="0E78BA7D" w:rsidR="00962404" w:rsidRPr="00DE777F" w:rsidRDefault="00FB3FDD" w:rsidP="00FB3FDD">
      <w:pPr>
        <w:pStyle w:val="VCAAbody"/>
      </w:pPr>
      <w:r w:rsidRPr="00F048B6">
        <w:rPr>
          <w:lang w:val="en-AU"/>
        </w:rPr>
        <w:t>The modelling or probl</w:t>
      </w:r>
      <w:r>
        <w:rPr>
          <w:lang w:val="en-AU"/>
        </w:rPr>
        <w:t>em-solving task is to be of 2–</w:t>
      </w:r>
      <w:r w:rsidRPr="00F048B6">
        <w:rPr>
          <w:lang w:val="en-AU"/>
        </w:rPr>
        <w:t>3 hours</w:t>
      </w:r>
      <w:r>
        <w:rPr>
          <w:lang w:val="en-AU"/>
        </w:rPr>
        <w:t>’</w:t>
      </w:r>
      <w:r w:rsidRPr="00F048B6">
        <w:rPr>
          <w:lang w:val="en-AU"/>
        </w:rPr>
        <w:t xml:space="preserve"> duration over a period of </w:t>
      </w:r>
      <w:r>
        <w:rPr>
          <w:lang w:val="en-AU"/>
        </w:rPr>
        <w:t>one</w:t>
      </w:r>
      <w:r w:rsidRPr="00F048B6">
        <w:rPr>
          <w:lang w:val="en-AU"/>
        </w:rPr>
        <w:t xml:space="preserve"> week.</w:t>
      </w:r>
    </w:p>
    <w:p w14:paraId="10153BC0" w14:textId="7C0EAFC1" w:rsidR="002B4C4E" w:rsidRPr="0084646A" w:rsidRDefault="002B4C4E" w:rsidP="002B4C4E">
      <w:pPr>
        <w:pStyle w:val="VCAAHeading3"/>
      </w:pPr>
      <w:r w:rsidRPr="0084646A">
        <w:t>Introduction</w:t>
      </w:r>
    </w:p>
    <w:p w14:paraId="2D276163" w14:textId="77777777" w:rsidR="00366422" w:rsidRDefault="00366422" w:rsidP="00366422">
      <w:pPr>
        <w:pStyle w:val="VCAAbody"/>
        <w:rPr>
          <w:lang w:val="en-AU"/>
        </w:rPr>
      </w:pPr>
      <w:r>
        <w:rPr>
          <w:lang w:val="en-AU"/>
        </w:rPr>
        <w:t>Investing assets to increase wealth is always a challenging experience. It takes constant monitoring to ensure the chosen investments are performing as expected and redeployment of some assets across different sectors is expected at various times. This task explores some investment option strategies and investigates their development over defined time periods. It also looks at comparisons between different investment options.</w:t>
      </w:r>
    </w:p>
    <w:p w14:paraId="5ACFEE27" w14:textId="77777777" w:rsidR="00366422" w:rsidRDefault="00366422" w:rsidP="00366422">
      <w:pPr>
        <w:pStyle w:val="VCAAbody"/>
        <w:spacing w:before="0" w:after="0" w:line="240" w:lineRule="auto"/>
        <w:rPr>
          <w:lang w:val="en-AU"/>
        </w:rPr>
      </w:pPr>
      <w:r>
        <w:rPr>
          <w:lang w:val="en-AU"/>
        </w:rPr>
        <w:t xml:space="preserve">Data from the various sources listed can be used to help with the investment choices. </w:t>
      </w:r>
    </w:p>
    <w:p w14:paraId="75F02A2D" w14:textId="77777777" w:rsidR="00366422" w:rsidRDefault="00366422" w:rsidP="00366422">
      <w:pPr>
        <w:pStyle w:val="VCAAbody"/>
        <w:spacing w:after="0"/>
        <w:rPr>
          <w:lang w:val="en-AU"/>
        </w:rPr>
      </w:pPr>
      <w:bookmarkStart w:id="1" w:name="_Hlk68092588"/>
      <w:r>
        <w:rPr>
          <w:lang w:val="en-AU"/>
        </w:rPr>
        <w:t xml:space="preserve">Property – </w:t>
      </w:r>
      <w:hyperlink r:id="rId11" w:history="1">
        <w:r w:rsidRPr="0095712F">
          <w:rPr>
            <w:rStyle w:val="Hyperlink"/>
            <w:lang w:val="en-AU"/>
          </w:rPr>
          <w:t>residential</w:t>
        </w:r>
      </w:hyperlink>
      <w:r>
        <w:rPr>
          <w:lang w:val="en-AU"/>
        </w:rPr>
        <w:t xml:space="preserve"> </w:t>
      </w:r>
    </w:p>
    <w:p w14:paraId="198F02A7" w14:textId="77777777" w:rsidR="00366422" w:rsidRDefault="00366422" w:rsidP="00366422">
      <w:pPr>
        <w:pStyle w:val="VCAAbody"/>
        <w:spacing w:before="60" w:after="0"/>
        <w:rPr>
          <w:lang w:val="en-AU"/>
        </w:rPr>
      </w:pPr>
      <w:r>
        <w:rPr>
          <w:lang w:val="en-AU"/>
        </w:rPr>
        <w:t xml:space="preserve">Property – </w:t>
      </w:r>
      <w:hyperlink r:id="rId12" w:history="1">
        <w:r w:rsidRPr="0095712F">
          <w:rPr>
            <w:rStyle w:val="Hyperlink"/>
            <w:lang w:val="en-AU"/>
          </w:rPr>
          <w:t>international</w:t>
        </w:r>
      </w:hyperlink>
    </w:p>
    <w:p w14:paraId="1E656F5A" w14:textId="77777777" w:rsidR="00366422" w:rsidRDefault="003D3F04" w:rsidP="00366422">
      <w:pPr>
        <w:pStyle w:val="VCAAbody"/>
        <w:spacing w:before="60" w:after="0"/>
      </w:pPr>
      <w:hyperlink r:id="rId13" w:history="1">
        <w:r w:rsidR="00366422" w:rsidRPr="0095712F">
          <w:rPr>
            <w:rStyle w:val="Hyperlink"/>
            <w:lang w:val="en-AU"/>
          </w:rPr>
          <w:t>RBA statistics</w:t>
        </w:r>
      </w:hyperlink>
      <w:r w:rsidR="00366422">
        <w:rPr>
          <w:lang w:val="en-AU"/>
        </w:rPr>
        <w:t xml:space="preserve"> </w:t>
      </w:r>
    </w:p>
    <w:p w14:paraId="346D8964" w14:textId="77777777" w:rsidR="00366422" w:rsidRDefault="003D3F04" w:rsidP="00366422">
      <w:pPr>
        <w:pStyle w:val="VCAAbody"/>
        <w:spacing w:before="60" w:after="0"/>
      </w:pPr>
      <w:hyperlink r:id="rId14" w:history="1">
        <w:r w:rsidR="00366422" w:rsidRPr="0095712F">
          <w:rPr>
            <w:rStyle w:val="Hyperlink"/>
          </w:rPr>
          <w:t>Global property guide</w:t>
        </w:r>
      </w:hyperlink>
    </w:p>
    <w:p w14:paraId="693C95EC" w14:textId="77777777" w:rsidR="00366422" w:rsidRDefault="00366422" w:rsidP="00366422">
      <w:pPr>
        <w:pStyle w:val="VCAAbody"/>
        <w:spacing w:before="60" w:after="0"/>
        <w:rPr>
          <w:lang w:val="en-AU"/>
        </w:rPr>
      </w:pPr>
      <w:r>
        <w:rPr>
          <w:lang w:val="en-AU"/>
        </w:rPr>
        <w:t xml:space="preserve">Shares – </w:t>
      </w:r>
      <w:hyperlink r:id="rId15" w:history="1">
        <w:r w:rsidRPr="0095712F">
          <w:rPr>
            <w:rStyle w:val="Hyperlink"/>
            <w:lang w:val="en-AU"/>
          </w:rPr>
          <w:t>domestic</w:t>
        </w:r>
      </w:hyperlink>
      <w:r>
        <w:rPr>
          <w:lang w:val="en-AU"/>
        </w:rPr>
        <w:t xml:space="preserve"> </w:t>
      </w:r>
    </w:p>
    <w:p w14:paraId="54505B58" w14:textId="77777777" w:rsidR="00366422" w:rsidRDefault="00366422" w:rsidP="00366422">
      <w:pPr>
        <w:pStyle w:val="VCAAbody"/>
        <w:spacing w:before="60" w:after="0"/>
        <w:rPr>
          <w:lang w:val="en-AU"/>
        </w:rPr>
      </w:pPr>
      <w:r>
        <w:rPr>
          <w:lang w:val="en-AU"/>
        </w:rPr>
        <w:t>Shares –</w:t>
      </w:r>
      <w:hyperlink r:id="rId16" w:history="1">
        <w:r w:rsidRPr="0095712F">
          <w:rPr>
            <w:rStyle w:val="Hyperlink"/>
            <w:lang w:val="en-AU"/>
          </w:rPr>
          <w:t xml:space="preserve"> international</w:t>
        </w:r>
      </w:hyperlink>
      <w:r>
        <w:rPr>
          <w:lang w:val="en-AU"/>
        </w:rPr>
        <w:t xml:space="preserve"> </w:t>
      </w:r>
    </w:p>
    <w:p w14:paraId="29CD2C4A" w14:textId="77777777" w:rsidR="00366422" w:rsidRDefault="00366422" w:rsidP="00366422">
      <w:pPr>
        <w:pStyle w:val="VCAAbody"/>
        <w:spacing w:before="60" w:after="0"/>
        <w:rPr>
          <w:lang w:val="en-AU"/>
        </w:rPr>
      </w:pPr>
      <w:r>
        <w:rPr>
          <w:lang w:val="en-AU"/>
        </w:rPr>
        <w:t xml:space="preserve">Loan rates – </w:t>
      </w:r>
      <w:hyperlink r:id="rId17" w:history="1">
        <w:r w:rsidRPr="0095712F">
          <w:rPr>
            <w:rStyle w:val="Hyperlink"/>
            <w:lang w:val="en-AU"/>
          </w:rPr>
          <w:t>Savings</w:t>
        </w:r>
      </w:hyperlink>
      <w:r>
        <w:rPr>
          <w:lang w:val="en-AU"/>
        </w:rPr>
        <w:t xml:space="preserve">, </w:t>
      </w:r>
      <w:hyperlink r:id="rId18" w:history="1">
        <w:r w:rsidRPr="0095712F">
          <w:rPr>
            <w:rStyle w:val="Hyperlink"/>
            <w:lang w:val="en-AU"/>
          </w:rPr>
          <w:t>Moneysmart</w:t>
        </w:r>
      </w:hyperlink>
      <w:r>
        <w:rPr>
          <w:lang w:val="en-AU"/>
        </w:rPr>
        <w:t xml:space="preserve"> </w:t>
      </w:r>
    </w:p>
    <w:bookmarkEnd w:id="1"/>
    <w:p w14:paraId="3F28ED3F" w14:textId="77777777" w:rsidR="00366422" w:rsidRPr="00F048B6" w:rsidRDefault="00366422" w:rsidP="00366422">
      <w:pPr>
        <w:pStyle w:val="VCAAHeading4"/>
      </w:pPr>
      <w:r w:rsidRPr="00F048B6">
        <w:t>Part 1</w:t>
      </w:r>
    </w:p>
    <w:p w14:paraId="202265FA" w14:textId="77777777" w:rsidR="00366422" w:rsidRPr="00C940DA" w:rsidRDefault="00366422" w:rsidP="00366422">
      <w:pPr>
        <w:pStyle w:val="VCAAbody"/>
        <w:rPr>
          <w:lang w:val="en-AU"/>
        </w:rPr>
      </w:pPr>
      <w:r>
        <w:rPr>
          <w:rFonts w:eastAsia="Calibri"/>
          <w:lang w:val="en-AU"/>
        </w:rPr>
        <w:t>Three possible investment options will be constructed using a fixed principal of $100,000 and selected time period of four years.</w:t>
      </w:r>
      <w:r>
        <w:rPr>
          <w:lang w:val="en-AU"/>
        </w:rPr>
        <w:t xml:space="preserve"> </w:t>
      </w:r>
    </w:p>
    <w:p w14:paraId="62AEE45C" w14:textId="77777777" w:rsidR="00366422" w:rsidRPr="008E69FB" w:rsidRDefault="00366422" w:rsidP="00366422">
      <w:pPr>
        <w:pStyle w:val="VCAAnumbers"/>
        <w:numPr>
          <w:ilvl w:val="0"/>
          <w:numId w:val="20"/>
        </w:numPr>
        <w:tabs>
          <w:tab w:val="left" w:pos="425"/>
        </w:tabs>
        <w:spacing w:before="120" w:line="280" w:lineRule="exact"/>
        <w:contextualSpacing/>
      </w:pPr>
      <w:r>
        <w:rPr>
          <w:rFonts w:eastAsia="Calibri"/>
          <w:lang w:val="en-AU"/>
        </w:rPr>
        <w:t xml:space="preserve">Purchase an international property that will be rented out for the entire investment period of four years. Consider the investment home loan that would be needed and repayments that would be required (including the rental money). Include calculations and a visual image showing the loan balance for each of the first 12 months. At the end of the investment period, sell the property, incorporating the property value increase, and investigate the growth of the investment. </w:t>
      </w:r>
    </w:p>
    <w:p w14:paraId="6A7B94A1" w14:textId="77777777" w:rsidR="00366422" w:rsidRPr="008E69FB" w:rsidRDefault="00366422" w:rsidP="00366422">
      <w:pPr>
        <w:pStyle w:val="VCAAnumbers"/>
        <w:numPr>
          <w:ilvl w:val="0"/>
          <w:numId w:val="20"/>
        </w:numPr>
        <w:tabs>
          <w:tab w:val="left" w:pos="425"/>
        </w:tabs>
        <w:spacing w:before="120" w:after="120" w:line="280" w:lineRule="exact"/>
      </w:pPr>
      <w:r>
        <w:rPr>
          <w:rFonts w:eastAsia="Calibri"/>
          <w:lang w:val="en-AU"/>
        </w:rPr>
        <w:t>Purchase a domestic property that will be rented out for the entire investment period of four years. Consider the investment home loan that would be needed and repayments that would be required (including the rental money). Include calculations and a visual image showing the loan balance for each of the first 12 months. At the end of the investment period, sell the property, incorporating the property value increase, and investigate the growth of the investment.</w:t>
      </w:r>
    </w:p>
    <w:p w14:paraId="2201E451" w14:textId="77777777" w:rsidR="00366422" w:rsidRPr="008E69FB" w:rsidRDefault="00366422" w:rsidP="00366422">
      <w:pPr>
        <w:pStyle w:val="VCAAnumbers"/>
        <w:numPr>
          <w:ilvl w:val="0"/>
          <w:numId w:val="20"/>
        </w:numPr>
        <w:tabs>
          <w:tab w:val="left" w:pos="425"/>
        </w:tabs>
        <w:spacing w:before="120" w:after="120" w:line="280" w:lineRule="exact"/>
        <w:ind w:right="-142"/>
      </w:pPr>
      <w:r>
        <w:rPr>
          <w:rFonts w:eastAsia="Calibri"/>
          <w:lang w:val="en-AU"/>
        </w:rPr>
        <w:t xml:space="preserve">Purchase a portfolio of five shares (domestic or international or a combination). Consider the loan that would be needed and repayments that would be required. Include calculations and a visual image showing the share portfolio balance for each of the first 12 months. A representative value for the share price across the month can be used. At the end of the investment period, sell the shares, pay out the loan and investigate the growth of the investment. </w:t>
      </w:r>
    </w:p>
    <w:p w14:paraId="3DA0CC9F" w14:textId="77777777" w:rsidR="00366422" w:rsidRDefault="00366422" w:rsidP="00366422">
      <w:pPr>
        <w:pStyle w:val="VCAAnumbers"/>
        <w:numPr>
          <w:ilvl w:val="0"/>
          <w:numId w:val="20"/>
        </w:numPr>
        <w:tabs>
          <w:tab w:val="left" w:pos="425"/>
        </w:tabs>
        <w:spacing w:before="120" w:after="120" w:line="280" w:lineRule="exact"/>
      </w:pPr>
      <w:r>
        <w:rPr>
          <w:rFonts w:eastAsia="Calibri"/>
          <w:lang w:val="en-AU"/>
        </w:rPr>
        <w:lastRenderedPageBreak/>
        <w:t>Summarise the outcome of each investment and indicate which option is the most appealing reasons for this preference.</w:t>
      </w:r>
    </w:p>
    <w:p w14:paraId="5CD6B764" w14:textId="77777777" w:rsidR="00366422" w:rsidRPr="00F048B6" w:rsidRDefault="00366422" w:rsidP="00366422">
      <w:pPr>
        <w:pStyle w:val="VCAAHeading4"/>
      </w:pPr>
      <w:r w:rsidRPr="00F048B6">
        <w:t xml:space="preserve">Part </w:t>
      </w:r>
      <w:r>
        <w:t>2</w:t>
      </w:r>
    </w:p>
    <w:p w14:paraId="34466A0B" w14:textId="77777777" w:rsidR="00366422" w:rsidRPr="00E718A5" w:rsidRDefault="00366422" w:rsidP="00366422">
      <w:pPr>
        <w:pStyle w:val="VCAAbody"/>
        <w:rPr>
          <w:b/>
          <w:lang w:val="en-AU"/>
        </w:rPr>
      </w:pPr>
      <w:r w:rsidRPr="00E718A5">
        <w:rPr>
          <w:lang w:val="en-AU"/>
        </w:rPr>
        <w:t xml:space="preserve">Explore some investment goals using the scenarios that were developed in Part 1. </w:t>
      </w:r>
    </w:p>
    <w:p w14:paraId="0C5F055C" w14:textId="77777777" w:rsidR="00366422" w:rsidRPr="00366422" w:rsidRDefault="00366422" w:rsidP="00366422">
      <w:pPr>
        <w:pStyle w:val="VCAAHeading4"/>
        <w:numPr>
          <w:ilvl w:val="0"/>
          <w:numId w:val="50"/>
        </w:numPr>
        <w:spacing w:before="120" w:after="140" w:line="280" w:lineRule="exact"/>
        <w:rPr>
          <w:b/>
          <w:bCs/>
          <w:color w:val="auto"/>
          <w:sz w:val="20"/>
          <w:szCs w:val="20"/>
          <w:lang w:val="en-AU"/>
        </w:rPr>
      </w:pPr>
      <w:r w:rsidRPr="00366422">
        <w:rPr>
          <w:bCs/>
          <w:color w:val="auto"/>
          <w:sz w:val="20"/>
          <w:szCs w:val="20"/>
          <w:lang w:val="en-AU"/>
        </w:rPr>
        <w:t>Calculate the time period that would result in an increase of 50% in the original investment if the domestic property purchase was used in equal proportion with the shares portfolio. Include any assumptions or constraints that would be needed for this scenario.</w:t>
      </w:r>
    </w:p>
    <w:p w14:paraId="345D5A56" w14:textId="77777777" w:rsidR="00366422" w:rsidRPr="00366422" w:rsidRDefault="00366422" w:rsidP="00366422">
      <w:pPr>
        <w:pStyle w:val="VCAAHeading4"/>
        <w:numPr>
          <w:ilvl w:val="0"/>
          <w:numId w:val="50"/>
        </w:numPr>
        <w:spacing w:before="120" w:after="140" w:line="280" w:lineRule="exact"/>
        <w:rPr>
          <w:b/>
          <w:bCs/>
          <w:color w:val="auto"/>
          <w:sz w:val="20"/>
          <w:szCs w:val="20"/>
          <w:lang w:val="en-AU"/>
        </w:rPr>
      </w:pPr>
      <w:r w:rsidRPr="00366422">
        <w:rPr>
          <w:bCs/>
          <w:color w:val="auto"/>
          <w:sz w:val="20"/>
          <w:szCs w:val="20"/>
          <w:lang w:val="en-AU"/>
        </w:rPr>
        <w:t xml:space="preserve">Calculate the time period that would result in an increase of 50% in the original investment if the international property was the sole investment. Include any assumptions or constraints that would be needed for this scenario. </w:t>
      </w:r>
    </w:p>
    <w:p w14:paraId="7C5F6CC1" w14:textId="77777777" w:rsidR="00366422" w:rsidRPr="00366422" w:rsidRDefault="00366422" w:rsidP="00366422">
      <w:pPr>
        <w:pStyle w:val="VCAAHeading4"/>
        <w:numPr>
          <w:ilvl w:val="0"/>
          <w:numId w:val="50"/>
        </w:numPr>
        <w:spacing w:before="120" w:after="140" w:line="280" w:lineRule="exact"/>
        <w:rPr>
          <w:b/>
          <w:bCs/>
          <w:color w:val="auto"/>
          <w:sz w:val="20"/>
          <w:szCs w:val="20"/>
          <w:lang w:val="en-AU"/>
        </w:rPr>
      </w:pPr>
      <w:r w:rsidRPr="00366422">
        <w:rPr>
          <w:bCs/>
          <w:color w:val="auto"/>
          <w:sz w:val="20"/>
          <w:szCs w:val="20"/>
          <w:lang w:val="en-AU"/>
        </w:rPr>
        <w:t xml:space="preserve">Consider one other strategy that would result in an increase of 50% in the original investment. Include any assumptions or constraints that would be needed for this scenario. </w:t>
      </w:r>
    </w:p>
    <w:p w14:paraId="73DC2E4F" w14:textId="77777777" w:rsidR="00366422" w:rsidRPr="00366422" w:rsidRDefault="00366422" w:rsidP="00366422">
      <w:pPr>
        <w:pStyle w:val="VCAAnumbers"/>
        <w:numPr>
          <w:ilvl w:val="0"/>
          <w:numId w:val="20"/>
        </w:numPr>
        <w:tabs>
          <w:tab w:val="left" w:pos="425"/>
        </w:tabs>
        <w:spacing w:before="120" w:after="120" w:line="280" w:lineRule="exact"/>
        <w:rPr>
          <w:color w:val="auto"/>
          <w:szCs w:val="20"/>
        </w:rPr>
      </w:pPr>
      <w:r w:rsidRPr="00366422">
        <w:rPr>
          <w:rFonts w:eastAsia="Calibri"/>
          <w:color w:val="auto"/>
          <w:szCs w:val="20"/>
          <w:lang w:val="en-AU"/>
        </w:rPr>
        <w:t>Summarise the outcome of each investment and indicate which option is the most appealing and reasons for this preference.</w:t>
      </w:r>
    </w:p>
    <w:p w14:paraId="76E6F8AB" w14:textId="77777777" w:rsidR="00366422" w:rsidRPr="00F048B6" w:rsidRDefault="00366422" w:rsidP="00366422">
      <w:pPr>
        <w:pStyle w:val="VCAAHeading3"/>
      </w:pPr>
      <w:r w:rsidRPr="00F048B6">
        <w:t>Areas of study</w:t>
      </w:r>
    </w:p>
    <w:p w14:paraId="15DEA72B" w14:textId="2FA3B977" w:rsidR="00366422" w:rsidRDefault="00366422" w:rsidP="00366422">
      <w:pPr>
        <w:pStyle w:val="VCAAbody"/>
        <w:rPr>
          <w:lang w:val="en-AU"/>
        </w:rPr>
      </w:pPr>
      <w:r w:rsidRPr="00F048B6">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366422" w:rsidRPr="00485F20" w14:paraId="01867A59" w14:textId="3FBB8F88" w:rsidTr="0060532D">
        <w:tc>
          <w:tcPr>
            <w:tcW w:w="9068" w:type="dxa"/>
            <w:gridSpan w:val="3"/>
            <w:shd w:val="clear" w:color="auto" w:fill="0F7EB4"/>
            <w:vAlign w:val="center"/>
          </w:tcPr>
          <w:p w14:paraId="197E3D89" w14:textId="704F4342" w:rsidR="00366422" w:rsidRDefault="00366422" w:rsidP="00E549AD">
            <w:pPr>
              <w:pStyle w:val="VCAAtablecondensedheading"/>
              <w:rPr>
                <w:b/>
                <w:bCs/>
              </w:rPr>
            </w:pPr>
            <w:r>
              <w:rPr>
                <w:b/>
                <w:bCs/>
              </w:rPr>
              <w:t>Unit 3</w:t>
            </w:r>
          </w:p>
        </w:tc>
      </w:tr>
      <w:tr w:rsidR="00366422" w:rsidRPr="00485F20" w14:paraId="284E4DA9" w14:textId="1B0B5E2E" w:rsidTr="00366422">
        <w:tc>
          <w:tcPr>
            <w:tcW w:w="3964" w:type="dxa"/>
            <w:shd w:val="clear" w:color="auto" w:fill="auto"/>
          </w:tcPr>
          <w:p w14:paraId="1F1068FF" w14:textId="77777777" w:rsidR="00366422" w:rsidRPr="00485F20" w:rsidRDefault="00366422" w:rsidP="00E549AD">
            <w:pPr>
              <w:pStyle w:val="VCAAtablecondensed"/>
            </w:pPr>
            <w:r w:rsidRPr="00485F20">
              <w:rPr>
                <w:b/>
                <w:bCs/>
              </w:rPr>
              <w:t>Area of study</w:t>
            </w:r>
          </w:p>
        </w:tc>
        <w:tc>
          <w:tcPr>
            <w:tcW w:w="2552" w:type="dxa"/>
            <w:shd w:val="clear" w:color="auto" w:fill="auto"/>
          </w:tcPr>
          <w:p w14:paraId="5398CF1C" w14:textId="2649040E" w:rsidR="00366422" w:rsidRPr="00485F20" w:rsidRDefault="00366422" w:rsidP="00E549AD">
            <w:pPr>
              <w:pStyle w:val="VCAAtablecondensed"/>
              <w:rPr>
                <w:lang w:val="en-AU"/>
              </w:rPr>
            </w:pPr>
            <w:r>
              <w:rPr>
                <w:b/>
                <w:bCs/>
                <w:lang w:val="en-AU"/>
              </w:rPr>
              <w:t>Topics</w:t>
            </w:r>
          </w:p>
        </w:tc>
        <w:tc>
          <w:tcPr>
            <w:tcW w:w="2552" w:type="dxa"/>
          </w:tcPr>
          <w:p w14:paraId="1E28C109" w14:textId="38C15678" w:rsidR="00366422" w:rsidRPr="00485F20" w:rsidRDefault="00366422" w:rsidP="00E549AD">
            <w:pPr>
              <w:pStyle w:val="VCAAtablecondensed"/>
              <w:rPr>
                <w:b/>
                <w:bCs/>
                <w:lang w:val="en-AU"/>
              </w:rPr>
            </w:pPr>
            <w:r>
              <w:rPr>
                <w:b/>
                <w:bCs/>
                <w:lang w:val="en-AU"/>
              </w:rPr>
              <w:t>Content dot points</w:t>
            </w:r>
          </w:p>
        </w:tc>
      </w:tr>
      <w:tr w:rsidR="00366422" w14:paraId="5052433F" w14:textId="1C824433" w:rsidTr="00366422">
        <w:tc>
          <w:tcPr>
            <w:tcW w:w="3964" w:type="dxa"/>
          </w:tcPr>
          <w:p w14:paraId="5F061E84" w14:textId="3436EB9F" w:rsidR="00366422" w:rsidRDefault="00366422" w:rsidP="00E549AD">
            <w:pPr>
              <w:pStyle w:val="VCAAtablecondensed"/>
            </w:pPr>
            <w:r>
              <w:rPr>
                <w:lang w:val="en-AU"/>
              </w:rPr>
              <w:t>Discrete mathematics</w:t>
            </w:r>
          </w:p>
        </w:tc>
        <w:tc>
          <w:tcPr>
            <w:tcW w:w="2552" w:type="dxa"/>
          </w:tcPr>
          <w:p w14:paraId="7CED248F" w14:textId="77777777" w:rsidR="00366422" w:rsidRPr="00857516" w:rsidRDefault="00366422" w:rsidP="00366422">
            <w:pPr>
              <w:pStyle w:val="VCAAtablecondensed"/>
              <w:rPr>
                <w:rFonts w:cs="HelveticaNeueLT-LightItalic"/>
                <w:iCs/>
                <w:lang w:val="en-AU" w:eastAsia="en-AU"/>
              </w:rPr>
            </w:pPr>
            <w:r w:rsidRPr="00857516">
              <w:rPr>
                <w:rFonts w:cs="HelveticaNeueLT-LightItalic"/>
                <w:iCs/>
                <w:lang w:val="en-AU" w:eastAsia="en-AU"/>
              </w:rPr>
              <w:t>Compound interest investments and loans</w:t>
            </w:r>
          </w:p>
          <w:p w14:paraId="08CD8ACB" w14:textId="30A0835A" w:rsidR="00366422" w:rsidRDefault="00366422" w:rsidP="00366422">
            <w:pPr>
              <w:pStyle w:val="VCAAtablecondensed"/>
              <w:rPr>
                <w:lang w:val="en-AU"/>
              </w:rPr>
            </w:pPr>
            <w:r w:rsidRPr="00857516">
              <w:rPr>
                <w:lang w:val="en-AU"/>
              </w:rPr>
              <w:t>Reducing balance loans</w:t>
            </w:r>
          </w:p>
        </w:tc>
        <w:tc>
          <w:tcPr>
            <w:tcW w:w="2552" w:type="dxa"/>
          </w:tcPr>
          <w:p w14:paraId="0134B370" w14:textId="77777777" w:rsidR="00366422" w:rsidRDefault="00366422" w:rsidP="00366422">
            <w:pPr>
              <w:pStyle w:val="VCAAtablecondensed"/>
              <w:rPr>
                <w:lang w:val="en-AU"/>
              </w:rPr>
            </w:pPr>
            <w:r>
              <w:rPr>
                <w:lang w:val="en-AU"/>
              </w:rPr>
              <w:t>1, 2, 4</w:t>
            </w:r>
          </w:p>
          <w:p w14:paraId="5DD47287" w14:textId="77777777" w:rsidR="00366422" w:rsidRDefault="00366422" w:rsidP="00366422">
            <w:pPr>
              <w:pStyle w:val="VCAAtablecondensed"/>
              <w:spacing w:after="0"/>
              <w:rPr>
                <w:lang w:val="en-AU"/>
              </w:rPr>
            </w:pPr>
          </w:p>
          <w:p w14:paraId="4C7F0868" w14:textId="3A3A90A4" w:rsidR="00366422" w:rsidRDefault="00366422" w:rsidP="00366422">
            <w:pPr>
              <w:pStyle w:val="VCAAtablecondensed"/>
              <w:spacing w:before="0"/>
            </w:pPr>
            <w:r>
              <w:rPr>
                <w:lang w:val="en-AU"/>
              </w:rPr>
              <w:t>1, 2,</w:t>
            </w:r>
          </w:p>
        </w:tc>
      </w:tr>
    </w:tbl>
    <w:p w14:paraId="5F4BCCC0" w14:textId="77777777" w:rsidR="00366422" w:rsidRPr="00F048B6" w:rsidRDefault="00366422" w:rsidP="00366422">
      <w:pPr>
        <w:pStyle w:val="VCAAHeading3"/>
      </w:pPr>
      <w:r w:rsidRPr="00F048B6">
        <w:t>Outcomes</w:t>
      </w:r>
    </w:p>
    <w:p w14:paraId="79FAC447" w14:textId="2AFA98AC" w:rsidR="00366422" w:rsidRDefault="00366422" w:rsidP="00366422">
      <w:pPr>
        <w:pStyle w:val="VCAAbody"/>
        <w:rPr>
          <w:lang w:val="en-AU"/>
        </w:rPr>
      </w:pPr>
      <w:r w:rsidRPr="00F048B6">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366422" w:rsidRPr="00FA2380" w14:paraId="60054184" w14:textId="77777777" w:rsidTr="00E549AD">
        <w:tc>
          <w:tcPr>
            <w:tcW w:w="8926" w:type="dxa"/>
            <w:gridSpan w:val="3"/>
            <w:shd w:val="clear" w:color="auto" w:fill="0F7EB4"/>
            <w:vAlign w:val="center"/>
          </w:tcPr>
          <w:p w14:paraId="3B164296" w14:textId="62B9773B" w:rsidR="00366422" w:rsidRPr="00FA2380" w:rsidRDefault="00366422" w:rsidP="00E549AD">
            <w:pPr>
              <w:pStyle w:val="VCAAtablecondensedheading"/>
              <w:rPr>
                <w:b/>
                <w:bCs/>
              </w:rPr>
            </w:pPr>
            <w:r>
              <w:rPr>
                <w:b/>
                <w:lang w:val="en-AU"/>
              </w:rPr>
              <w:t xml:space="preserve">Unit </w:t>
            </w:r>
            <w:r w:rsidR="007A2102">
              <w:rPr>
                <w:b/>
                <w:lang w:val="en-AU"/>
              </w:rPr>
              <w:t>3</w:t>
            </w:r>
          </w:p>
        </w:tc>
      </w:tr>
      <w:tr w:rsidR="00366422" w:rsidRPr="00FA2380" w14:paraId="26DD98FF" w14:textId="77777777" w:rsidTr="00E549AD">
        <w:tc>
          <w:tcPr>
            <w:tcW w:w="2975" w:type="dxa"/>
            <w:shd w:val="clear" w:color="auto" w:fill="auto"/>
          </w:tcPr>
          <w:p w14:paraId="44AF5AAA" w14:textId="77777777" w:rsidR="00366422" w:rsidRPr="00E850AC" w:rsidRDefault="00366422" w:rsidP="00E549AD">
            <w:pPr>
              <w:pStyle w:val="VCAAtablecondensedheading"/>
              <w:rPr>
                <w:b/>
                <w:color w:val="auto"/>
                <w:lang w:val="en-AU"/>
              </w:rPr>
            </w:pPr>
            <w:r w:rsidRPr="00E850AC">
              <w:rPr>
                <w:b/>
                <w:color w:val="auto"/>
                <w:lang w:val="en-AU"/>
              </w:rPr>
              <w:t>Outcome</w:t>
            </w:r>
          </w:p>
        </w:tc>
        <w:tc>
          <w:tcPr>
            <w:tcW w:w="2975" w:type="dxa"/>
            <w:shd w:val="clear" w:color="auto" w:fill="auto"/>
          </w:tcPr>
          <w:p w14:paraId="16361350" w14:textId="271B6972" w:rsidR="00366422" w:rsidRPr="00E850AC" w:rsidRDefault="00366422" w:rsidP="00E549AD">
            <w:pPr>
              <w:pStyle w:val="VCAAtablecondensedheading"/>
              <w:rPr>
                <w:b/>
                <w:color w:val="auto"/>
                <w:lang w:val="en-AU"/>
              </w:rPr>
            </w:pPr>
            <w:r w:rsidRPr="00E850AC">
              <w:rPr>
                <w:b/>
                <w:color w:val="auto"/>
                <w:lang w:val="en-AU"/>
              </w:rPr>
              <w:t>Key knowledge dot point</w:t>
            </w:r>
          </w:p>
        </w:tc>
        <w:tc>
          <w:tcPr>
            <w:tcW w:w="2976" w:type="dxa"/>
            <w:shd w:val="clear" w:color="auto" w:fill="auto"/>
          </w:tcPr>
          <w:p w14:paraId="338F9897" w14:textId="430759A8" w:rsidR="00366422" w:rsidRPr="00E850AC" w:rsidRDefault="00366422" w:rsidP="00E549AD">
            <w:pPr>
              <w:pStyle w:val="VCAAtablecondensedheading"/>
              <w:rPr>
                <w:b/>
                <w:color w:val="auto"/>
                <w:lang w:val="en-AU"/>
              </w:rPr>
            </w:pPr>
            <w:r w:rsidRPr="00E850AC">
              <w:rPr>
                <w:b/>
                <w:color w:val="auto"/>
                <w:lang w:val="en-AU"/>
              </w:rPr>
              <w:t>Key skills dot poin</w:t>
            </w:r>
            <w:r>
              <w:rPr>
                <w:b/>
                <w:color w:val="auto"/>
                <w:lang w:val="en-AU"/>
              </w:rPr>
              <w:t>t</w:t>
            </w:r>
          </w:p>
        </w:tc>
      </w:tr>
      <w:tr w:rsidR="00366422" w14:paraId="0BF84075" w14:textId="77777777" w:rsidTr="00201661">
        <w:tc>
          <w:tcPr>
            <w:tcW w:w="2975" w:type="dxa"/>
            <w:vAlign w:val="center"/>
          </w:tcPr>
          <w:p w14:paraId="1E4334B2" w14:textId="2AE52405" w:rsidR="00366422" w:rsidRPr="000E2B81" w:rsidRDefault="00366422" w:rsidP="00366422">
            <w:pPr>
              <w:pStyle w:val="VCAAtablecondensed"/>
              <w:rPr>
                <w:bCs/>
              </w:rPr>
            </w:pPr>
            <w:r w:rsidRPr="00857516">
              <w:rPr>
                <w:lang w:val="en-AU"/>
              </w:rPr>
              <w:t>1</w:t>
            </w:r>
          </w:p>
        </w:tc>
        <w:tc>
          <w:tcPr>
            <w:tcW w:w="2975" w:type="dxa"/>
          </w:tcPr>
          <w:p w14:paraId="13496423" w14:textId="26E59340" w:rsidR="00366422" w:rsidRDefault="00366422" w:rsidP="00366422">
            <w:pPr>
              <w:pStyle w:val="VCAAtablecondensed"/>
            </w:pPr>
            <w:r>
              <w:rPr>
                <w:lang w:val="en-AU"/>
              </w:rPr>
              <w:t>1, 2, 3, 4</w:t>
            </w:r>
          </w:p>
        </w:tc>
        <w:tc>
          <w:tcPr>
            <w:tcW w:w="2976" w:type="dxa"/>
          </w:tcPr>
          <w:p w14:paraId="01935388" w14:textId="7B0424B0" w:rsidR="00366422" w:rsidRDefault="00366422" w:rsidP="00366422">
            <w:pPr>
              <w:pStyle w:val="VCAAtablecondensed"/>
            </w:pPr>
            <w:r>
              <w:rPr>
                <w:lang w:val="en-AU"/>
              </w:rPr>
              <w:t>1, 2, 3, 4, 5</w:t>
            </w:r>
          </w:p>
        </w:tc>
      </w:tr>
      <w:tr w:rsidR="00366422" w14:paraId="16DF8000" w14:textId="77777777" w:rsidTr="00201661">
        <w:tc>
          <w:tcPr>
            <w:tcW w:w="2975" w:type="dxa"/>
            <w:vAlign w:val="center"/>
          </w:tcPr>
          <w:p w14:paraId="4DCD76E3" w14:textId="52856E9D" w:rsidR="00366422" w:rsidRPr="000E2B81" w:rsidRDefault="00366422" w:rsidP="00366422">
            <w:pPr>
              <w:pStyle w:val="VCAAtablecondensed"/>
              <w:rPr>
                <w:bCs/>
              </w:rPr>
            </w:pPr>
            <w:r w:rsidRPr="00857516">
              <w:rPr>
                <w:lang w:val="en-AU"/>
              </w:rPr>
              <w:t>2</w:t>
            </w:r>
          </w:p>
        </w:tc>
        <w:tc>
          <w:tcPr>
            <w:tcW w:w="2975" w:type="dxa"/>
          </w:tcPr>
          <w:p w14:paraId="5E56B226" w14:textId="3D763759" w:rsidR="00366422" w:rsidRDefault="00366422" w:rsidP="00366422">
            <w:pPr>
              <w:pStyle w:val="VCAAtablecondensed"/>
            </w:pPr>
            <w:r w:rsidRPr="00E6479A">
              <w:rPr>
                <w:lang w:val="en-AU"/>
              </w:rPr>
              <w:t xml:space="preserve">1, 2, </w:t>
            </w:r>
            <w:r>
              <w:rPr>
                <w:lang w:val="en-AU"/>
              </w:rPr>
              <w:t xml:space="preserve">3, </w:t>
            </w:r>
            <w:r w:rsidRPr="00E6479A">
              <w:rPr>
                <w:lang w:val="en-AU"/>
              </w:rPr>
              <w:t>4</w:t>
            </w:r>
          </w:p>
        </w:tc>
        <w:tc>
          <w:tcPr>
            <w:tcW w:w="2976" w:type="dxa"/>
          </w:tcPr>
          <w:p w14:paraId="3EFD4F7F" w14:textId="67BE6D2E" w:rsidR="00366422" w:rsidRDefault="00366422" w:rsidP="00366422">
            <w:pPr>
              <w:pStyle w:val="VCAAtablecondensed"/>
            </w:pPr>
            <w:r>
              <w:rPr>
                <w:lang w:val="en-AU"/>
              </w:rPr>
              <w:t>2, 4</w:t>
            </w:r>
          </w:p>
        </w:tc>
      </w:tr>
      <w:tr w:rsidR="00366422" w14:paraId="0E21F57C" w14:textId="77777777" w:rsidTr="00201661">
        <w:tc>
          <w:tcPr>
            <w:tcW w:w="2975" w:type="dxa"/>
            <w:vAlign w:val="center"/>
          </w:tcPr>
          <w:p w14:paraId="173E30B5" w14:textId="41CE5C3C" w:rsidR="00366422" w:rsidRPr="000E2B81" w:rsidRDefault="00366422" w:rsidP="00366422">
            <w:pPr>
              <w:pStyle w:val="VCAAtablecondensed"/>
              <w:rPr>
                <w:bCs/>
              </w:rPr>
            </w:pPr>
            <w:r w:rsidRPr="00857516">
              <w:rPr>
                <w:lang w:val="en-AU"/>
              </w:rPr>
              <w:t>3</w:t>
            </w:r>
          </w:p>
        </w:tc>
        <w:tc>
          <w:tcPr>
            <w:tcW w:w="2975" w:type="dxa"/>
          </w:tcPr>
          <w:p w14:paraId="47DF45C7" w14:textId="576F6737" w:rsidR="00366422" w:rsidRDefault="00366422" w:rsidP="00366422">
            <w:pPr>
              <w:pStyle w:val="VCAAtablecondensed"/>
            </w:pPr>
            <w:r w:rsidRPr="00E6479A">
              <w:rPr>
                <w:lang w:val="en-AU"/>
              </w:rPr>
              <w:t xml:space="preserve">1, 2, 3, 4, </w:t>
            </w:r>
            <w:r>
              <w:rPr>
                <w:lang w:val="en-AU"/>
              </w:rPr>
              <w:t>5, 7</w:t>
            </w:r>
          </w:p>
        </w:tc>
        <w:tc>
          <w:tcPr>
            <w:tcW w:w="2976" w:type="dxa"/>
          </w:tcPr>
          <w:p w14:paraId="5B84BBB5" w14:textId="53F5EA9D" w:rsidR="00366422" w:rsidRDefault="00366422" w:rsidP="00366422">
            <w:pPr>
              <w:pStyle w:val="VCAAtablecondensed"/>
            </w:pPr>
            <w:r>
              <w:rPr>
                <w:lang w:val="en-AU"/>
              </w:rPr>
              <w:t>1, 3, 4, 5</w:t>
            </w:r>
            <w:r w:rsidRPr="00E6479A">
              <w:rPr>
                <w:lang w:val="en-AU"/>
              </w:rPr>
              <w:t xml:space="preserve">, </w:t>
            </w:r>
            <w:r>
              <w:rPr>
                <w:lang w:val="en-AU"/>
              </w:rPr>
              <w:t>6, 9</w:t>
            </w:r>
            <w:r w:rsidRPr="00E6479A">
              <w:rPr>
                <w:lang w:val="en-AU"/>
              </w:rPr>
              <w:t xml:space="preserve">, </w:t>
            </w:r>
            <w:r>
              <w:rPr>
                <w:lang w:val="en-AU"/>
              </w:rPr>
              <w:t>10</w:t>
            </w:r>
            <w:r w:rsidRPr="00E6479A">
              <w:rPr>
                <w:lang w:val="en-AU"/>
              </w:rPr>
              <w:t>, 1</w:t>
            </w:r>
            <w:r>
              <w:rPr>
                <w:lang w:val="en-AU"/>
              </w:rPr>
              <w:t>1</w:t>
            </w:r>
            <w:r w:rsidRPr="00E6479A">
              <w:rPr>
                <w:lang w:val="en-AU"/>
              </w:rPr>
              <w:t>, 1</w:t>
            </w:r>
            <w:r>
              <w:rPr>
                <w:lang w:val="en-AU"/>
              </w:rPr>
              <w:t>2</w:t>
            </w:r>
          </w:p>
        </w:tc>
      </w:tr>
    </w:tbl>
    <w:p w14:paraId="6ABFB6D4" w14:textId="57D5D3A2" w:rsidR="00366422" w:rsidRDefault="00366422" w:rsidP="00366422">
      <w:pPr>
        <w:pStyle w:val="VCAAbody"/>
        <w:spacing w:after="0"/>
        <w:rPr>
          <w:lang w:val="en-AU"/>
        </w:rPr>
      </w:pPr>
    </w:p>
    <w:sectPr w:rsidR="00366422"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Ligh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BC6FFDC" w:rsidR="00FD29D3" w:rsidRPr="00D86DE4" w:rsidRDefault="003D3F0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55784">
          <w:rPr>
            <w:color w:val="999999" w:themeColor="accent2"/>
          </w:rPr>
          <w:t>VCE General Mathematics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9F4"/>
    <w:multiLevelType w:val="hybridMultilevel"/>
    <w:tmpl w:val="2EE2FC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606D6F"/>
    <w:multiLevelType w:val="hybridMultilevel"/>
    <w:tmpl w:val="E218329A"/>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721E60"/>
    <w:multiLevelType w:val="hybridMultilevel"/>
    <w:tmpl w:val="FE268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A40C5"/>
    <w:multiLevelType w:val="hybridMultilevel"/>
    <w:tmpl w:val="EB189882"/>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F34A9A"/>
    <w:multiLevelType w:val="hybridMultilevel"/>
    <w:tmpl w:val="58C6F6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8671F0"/>
    <w:multiLevelType w:val="hybridMultilevel"/>
    <w:tmpl w:val="364C5E5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5A24C5"/>
    <w:multiLevelType w:val="hybridMultilevel"/>
    <w:tmpl w:val="1EFAD7A2"/>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AD0D74"/>
    <w:multiLevelType w:val="hybridMultilevel"/>
    <w:tmpl w:val="77A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F4599"/>
    <w:multiLevelType w:val="hybridMultilevel"/>
    <w:tmpl w:val="7A743C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003D7"/>
    <w:multiLevelType w:val="hybridMultilevel"/>
    <w:tmpl w:val="A7585952"/>
    <w:lvl w:ilvl="0" w:tplc="04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53823"/>
    <w:multiLevelType w:val="hybridMultilevel"/>
    <w:tmpl w:val="C6D2EEC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FA3B9F"/>
    <w:multiLevelType w:val="hybridMultilevel"/>
    <w:tmpl w:val="1EFAD7A2"/>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F070A5"/>
    <w:multiLevelType w:val="hybridMultilevel"/>
    <w:tmpl w:val="1276A8C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C50731"/>
    <w:multiLevelType w:val="hybridMultilevel"/>
    <w:tmpl w:val="F022DA6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7200D8"/>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EF6705"/>
    <w:multiLevelType w:val="hybridMultilevel"/>
    <w:tmpl w:val="00EA7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8A7ED3"/>
    <w:multiLevelType w:val="hybridMultilevel"/>
    <w:tmpl w:val="3318B0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AF7E2C"/>
    <w:multiLevelType w:val="hybridMultilevel"/>
    <w:tmpl w:val="65865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A30F0"/>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0A255CB"/>
    <w:multiLevelType w:val="hybridMultilevel"/>
    <w:tmpl w:val="5CCEA6E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D7425ED"/>
    <w:multiLevelType w:val="hybridMultilevel"/>
    <w:tmpl w:val="05B2D8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B72B9E"/>
    <w:multiLevelType w:val="hybridMultilevel"/>
    <w:tmpl w:val="A2D4147E"/>
    <w:lvl w:ilvl="0" w:tplc="7474E55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287885"/>
    <w:multiLevelType w:val="hybridMultilevel"/>
    <w:tmpl w:val="C5FCED9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0870CB3"/>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13827FC"/>
    <w:multiLevelType w:val="hybridMultilevel"/>
    <w:tmpl w:val="DC7614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3421CAE"/>
    <w:multiLevelType w:val="hybridMultilevel"/>
    <w:tmpl w:val="1158ABE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A92DAF"/>
    <w:multiLevelType w:val="hybridMultilevel"/>
    <w:tmpl w:val="272A04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58438C"/>
    <w:multiLevelType w:val="hybridMultilevel"/>
    <w:tmpl w:val="1158ABE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19780B"/>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EC010B9"/>
    <w:multiLevelType w:val="hybridMultilevel"/>
    <w:tmpl w:val="91FE539A"/>
    <w:lvl w:ilvl="0" w:tplc="CEC05B9A">
      <w:start w:val="1"/>
      <w:numFmt w:val="lowerLetter"/>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82E3E23"/>
    <w:multiLevelType w:val="hybridMultilevel"/>
    <w:tmpl w:val="79809B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B055A1"/>
    <w:multiLevelType w:val="hybridMultilevel"/>
    <w:tmpl w:val="AD646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D71FC7"/>
    <w:multiLevelType w:val="hybridMultilevel"/>
    <w:tmpl w:val="9F2E58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C1D3231"/>
    <w:multiLevelType w:val="hybridMultilevel"/>
    <w:tmpl w:val="2D58CD56"/>
    <w:lvl w:ilvl="0" w:tplc="F45E58F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6A666F"/>
    <w:multiLevelType w:val="hybridMultilevel"/>
    <w:tmpl w:val="00EA76B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2"/>
  </w:num>
  <w:num w:numId="2">
    <w:abstractNumId w:val="21"/>
  </w:num>
  <w:num w:numId="3">
    <w:abstractNumId w:val="10"/>
  </w:num>
  <w:num w:numId="4">
    <w:abstractNumId w:val="34"/>
  </w:num>
  <w:num w:numId="5">
    <w:abstractNumId w:val="45"/>
  </w:num>
  <w:num w:numId="6">
    <w:abstractNumId w:val="4"/>
  </w:num>
  <w:num w:numId="7">
    <w:abstractNumId w:val="31"/>
  </w:num>
  <w:num w:numId="8">
    <w:abstractNumId w:val="22"/>
  </w:num>
  <w:num w:numId="9">
    <w:abstractNumId w:val="35"/>
  </w:num>
  <w:num w:numId="10">
    <w:abstractNumId w:val="13"/>
  </w:num>
  <w:num w:numId="11">
    <w:abstractNumId w:val="26"/>
  </w:num>
  <w:num w:numId="12">
    <w:abstractNumId w:val="33"/>
  </w:num>
  <w:num w:numId="13">
    <w:abstractNumId w:val="19"/>
  </w:num>
  <w:num w:numId="14">
    <w:abstractNumId w:val="23"/>
  </w:num>
  <w:num w:numId="15">
    <w:abstractNumId w:val="24"/>
  </w:num>
  <w:num w:numId="16">
    <w:abstractNumId w:val="17"/>
  </w:num>
  <w:num w:numId="17">
    <w:abstractNumId w:val="29"/>
  </w:num>
  <w:num w:numId="18">
    <w:abstractNumId w:val="44"/>
  </w:num>
  <w:num w:numId="19">
    <w:abstractNumId w:val="5"/>
  </w:num>
  <w:num w:numId="20">
    <w:abstractNumId w:val="25"/>
  </w:num>
  <w:num w:numId="21">
    <w:abstractNumId w:val="40"/>
  </w:num>
  <w:num w:numId="22">
    <w:abstractNumId w:val="42"/>
  </w:num>
  <w:num w:numId="23">
    <w:abstractNumId w:val="46"/>
  </w:num>
  <w:num w:numId="24">
    <w:abstractNumId w:val="1"/>
  </w:num>
  <w:num w:numId="25">
    <w:abstractNumId w:val="16"/>
  </w:num>
  <w:num w:numId="26">
    <w:abstractNumId w:val="21"/>
    <w:lvlOverride w:ilvl="0">
      <w:startOverride w:val="1"/>
    </w:lvlOverride>
  </w:num>
  <w:num w:numId="27">
    <w:abstractNumId w:val="21"/>
    <w:lvlOverride w:ilvl="0">
      <w:startOverride w:val="1"/>
    </w:lvlOverride>
  </w:num>
  <w:num w:numId="28">
    <w:abstractNumId w:val="47"/>
  </w:num>
  <w:num w:numId="29">
    <w:abstractNumId w:val="18"/>
  </w:num>
  <w:num w:numId="30">
    <w:abstractNumId w:val="0"/>
  </w:num>
  <w:num w:numId="31">
    <w:abstractNumId w:val="12"/>
  </w:num>
  <w:num w:numId="32">
    <w:abstractNumId w:val="2"/>
  </w:num>
  <w:num w:numId="33">
    <w:abstractNumId w:val="11"/>
  </w:num>
  <w:num w:numId="34">
    <w:abstractNumId w:val="41"/>
  </w:num>
  <w:num w:numId="35">
    <w:abstractNumId w:val="30"/>
  </w:num>
  <w:num w:numId="36">
    <w:abstractNumId w:val="27"/>
  </w:num>
  <w:num w:numId="37">
    <w:abstractNumId w:val="38"/>
  </w:num>
  <w:num w:numId="38">
    <w:abstractNumId w:val="43"/>
  </w:num>
  <w:num w:numId="39">
    <w:abstractNumId w:val="3"/>
  </w:num>
  <w:num w:numId="40">
    <w:abstractNumId w:val="36"/>
  </w:num>
  <w:num w:numId="41">
    <w:abstractNumId w:val="9"/>
  </w:num>
  <w:num w:numId="42">
    <w:abstractNumId w:val="14"/>
  </w:num>
  <w:num w:numId="43">
    <w:abstractNumId w:val="7"/>
  </w:num>
  <w:num w:numId="44">
    <w:abstractNumId w:val="15"/>
  </w:num>
  <w:num w:numId="45">
    <w:abstractNumId w:val="39"/>
  </w:num>
  <w:num w:numId="46">
    <w:abstractNumId w:val="37"/>
  </w:num>
  <w:num w:numId="47">
    <w:abstractNumId w:val="20"/>
  </w:num>
  <w:num w:numId="48">
    <w:abstractNumId w:val="28"/>
  </w:num>
  <w:num w:numId="49">
    <w:abstractNumId w:val="8"/>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E2B81"/>
    <w:rsid w:val="000F09E4"/>
    <w:rsid w:val="000F16FD"/>
    <w:rsid w:val="000F5AAF"/>
    <w:rsid w:val="00143520"/>
    <w:rsid w:val="00153AD2"/>
    <w:rsid w:val="001779EA"/>
    <w:rsid w:val="00181204"/>
    <w:rsid w:val="001D3246"/>
    <w:rsid w:val="002029F5"/>
    <w:rsid w:val="00213196"/>
    <w:rsid w:val="002279BA"/>
    <w:rsid w:val="002329F3"/>
    <w:rsid w:val="00243F0D"/>
    <w:rsid w:val="0025133F"/>
    <w:rsid w:val="00260349"/>
    <w:rsid w:val="00260767"/>
    <w:rsid w:val="002647BB"/>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3F04"/>
    <w:rsid w:val="00402F7C"/>
    <w:rsid w:val="0040589B"/>
    <w:rsid w:val="0041382E"/>
    <w:rsid w:val="00417AA3"/>
    <w:rsid w:val="00425DFE"/>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2636"/>
    <w:rsid w:val="00724507"/>
    <w:rsid w:val="00727716"/>
    <w:rsid w:val="00744BC4"/>
    <w:rsid w:val="0075391A"/>
    <w:rsid w:val="00773E6C"/>
    <w:rsid w:val="0077468E"/>
    <w:rsid w:val="00777727"/>
    <w:rsid w:val="007807F1"/>
    <w:rsid w:val="00781FB1"/>
    <w:rsid w:val="007A2102"/>
    <w:rsid w:val="007C4ED7"/>
    <w:rsid w:val="007D1B6D"/>
    <w:rsid w:val="007E7F95"/>
    <w:rsid w:val="00801881"/>
    <w:rsid w:val="00805270"/>
    <w:rsid w:val="00805FDF"/>
    <w:rsid w:val="00813C37"/>
    <w:rsid w:val="008154B5"/>
    <w:rsid w:val="00820F1F"/>
    <w:rsid w:val="00823962"/>
    <w:rsid w:val="00827233"/>
    <w:rsid w:val="00830E27"/>
    <w:rsid w:val="00850410"/>
    <w:rsid w:val="00852719"/>
    <w:rsid w:val="00852BD0"/>
    <w:rsid w:val="00860115"/>
    <w:rsid w:val="0088783C"/>
    <w:rsid w:val="009370BC"/>
    <w:rsid w:val="00962404"/>
    <w:rsid w:val="00970580"/>
    <w:rsid w:val="00984E15"/>
    <w:rsid w:val="0098739B"/>
    <w:rsid w:val="009A0DA4"/>
    <w:rsid w:val="009A192D"/>
    <w:rsid w:val="009B2060"/>
    <w:rsid w:val="009B61E5"/>
    <w:rsid w:val="009D1E89"/>
    <w:rsid w:val="009D6BBE"/>
    <w:rsid w:val="009E5707"/>
    <w:rsid w:val="009F48C2"/>
    <w:rsid w:val="00A13080"/>
    <w:rsid w:val="00A17661"/>
    <w:rsid w:val="00A24B2D"/>
    <w:rsid w:val="00A40966"/>
    <w:rsid w:val="00A921E0"/>
    <w:rsid w:val="00A922F4"/>
    <w:rsid w:val="00AA6397"/>
    <w:rsid w:val="00AD63F0"/>
    <w:rsid w:val="00AE5526"/>
    <w:rsid w:val="00AF051B"/>
    <w:rsid w:val="00AF2753"/>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5521"/>
    <w:rsid w:val="00BF41AE"/>
    <w:rsid w:val="00BF6C23"/>
    <w:rsid w:val="00C25E49"/>
    <w:rsid w:val="00C519C2"/>
    <w:rsid w:val="00C53263"/>
    <w:rsid w:val="00C57698"/>
    <w:rsid w:val="00C65E5B"/>
    <w:rsid w:val="00C75827"/>
    <w:rsid w:val="00C75F1D"/>
    <w:rsid w:val="00C87300"/>
    <w:rsid w:val="00C904AB"/>
    <w:rsid w:val="00C95156"/>
    <w:rsid w:val="00CA0DC2"/>
    <w:rsid w:val="00CB68E8"/>
    <w:rsid w:val="00CD3D0B"/>
    <w:rsid w:val="00D04F01"/>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D4FB2"/>
    <w:rsid w:val="00DE1909"/>
    <w:rsid w:val="00DE51DB"/>
    <w:rsid w:val="00DE777F"/>
    <w:rsid w:val="00E11872"/>
    <w:rsid w:val="00E148EE"/>
    <w:rsid w:val="00E23F1D"/>
    <w:rsid w:val="00E30E05"/>
    <w:rsid w:val="00E36361"/>
    <w:rsid w:val="00E55AE9"/>
    <w:rsid w:val="00E850AC"/>
    <w:rsid w:val="00EA196E"/>
    <w:rsid w:val="00EA2D2C"/>
    <w:rsid w:val="00EB0C84"/>
    <w:rsid w:val="00EC70E6"/>
    <w:rsid w:val="00F17FDE"/>
    <w:rsid w:val="00F3170F"/>
    <w:rsid w:val="00F40D53"/>
    <w:rsid w:val="00F4525C"/>
    <w:rsid w:val="00F50D86"/>
    <w:rsid w:val="00F73679"/>
    <w:rsid w:val="00F94524"/>
    <w:rsid w:val="00FA2380"/>
    <w:rsid w:val="00FB3FDD"/>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a.gov.au/statistics/frequency/exchange-rates.html" TargetMode="External"/><Relationship Id="rId18" Type="http://schemas.openxmlformats.org/officeDocument/2006/relationships/hyperlink" Target="https://moneysmart.gov.au/home-loans/choosing-a-home-loa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ealestate.com.au/international/" TargetMode="External"/><Relationship Id="rId17" Type="http://schemas.openxmlformats.org/officeDocument/2006/relationships/hyperlink" Target="https://www.savings.com.au/current-interest-rates-austral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adingeconomics.com/stoc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propertyinvestment.com.au/data"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arketindex.com.au/asx20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ropertyguide.com/rental-yield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Light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F518-1AD3-4E30-B03F-7712FF9E54F0}"/>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3</dc:title>
  <dc:subject>VCE Mathematical Methods</dc:subject>
  <dc:creator>vcaa@education.vic.gov.au</dc:creator>
  <cp:keywords>general, mathematics, VCE, sample, modelling, problem-solving, task, investments, Unit 3, AoS 2</cp:keywords>
  <cp:lastModifiedBy>Julie Coleman</cp:lastModifiedBy>
  <cp:revision>6</cp:revision>
  <cp:lastPrinted>2015-05-15T02:36:00Z</cp:lastPrinted>
  <dcterms:created xsi:type="dcterms:W3CDTF">2022-12-21T00:39:00Z</dcterms:created>
  <dcterms:modified xsi:type="dcterms:W3CDTF">2023-01-25T03:58:00Z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