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128D14BA" w:rsidR="00F4525C" w:rsidRDefault="00C904AB" w:rsidP="00B0611A">
      <w:pPr>
        <w:pStyle w:val="VCAADocumenttitle"/>
      </w:pPr>
      <w:r>
        <w:t xml:space="preserve">VCE </w:t>
      </w:r>
      <w:r w:rsidR="00FB3FDD">
        <w:t xml:space="preserve">General </w:t>
      </w:r>
      <w:r>
        <w:t>Mathematic</w:t>
      </w:r>
      <w:r w:rsidR="00FB3FDD">
        <w:t>s</w:t>
      </w:r>
      <w:r w:rsidR="0041382E">
        <w:t xml:space="preserve"> </w:t>
      </w:r>
      <w:r>
        <w:t>Unit</w:t>
      </w:r>
      <w:r w:rsidR="00B0611A">
        <w:t xml:space="preserve"> </w:t>
      </w:r>
      <w:r w:rsidR="00FB3FDD">
        <w:t>3</w:t>
      </w:r>
    </w:p>
    <w:p w14:paraId="74E62D52" w14:textId="22621A4E" w:rsidR="00243F0D" w:rsidRPr="00DE777F" w:rsidRDefault="00962404" w:rsidP="00DB50B3">
      <w:pPr>
        <w:pStyle w:val="VCAAHeading1"/>
        <w:spacing w:before="120"/>
      </w:pPr>
      <w:bookmarkStart w:id="0" w:name="TemplateOverview"/>
      <w:bookmarkEnd w:id="0"/>
      <w:r w:rsidRPr="00DE777F">
        <w:t>Area of Study</w:t>
      </w:r>
      <w:r w:rsidR="0077468E" w:rsidRPr="00DE777F">
        <w:t xml:space="preserve"> </w:t>
      </w:r>
      <w:r w:rsidR="00FB3FDD">
        <w:t>2</w:t>
      </w:r>
      <w:r w:rsidR="00DE777F" w:rsidRPr="00DE777F">
        <w:t xml:space="preserve">: </w:t>
      </w:r>
      <w:r w:rsidR="00FB3FDD">
        <w:t>s</w:t>
      </w:r>
      <w:r w:rsidR="00FB3FDD" w:rsidRPr="00F048B6">
        <w:t>ample</w:t>
      </w:r>
      <w:r w:rsidR="00FB3FDD" w:rsidRPr="002A1FFA">
        <w:rPr>
          <w:lang w:val="en-AU"/>
        </w:rPr>
        <w:t xml:space="preserve"> modelling</w:t>
      </w:r>
      <w:r w:rsidR="00FB3FDD">
        <w:t xml:space="preserve"> or problem-solving task: </w:t>
      </w:r>
      <w:r w:rsidR="00860450" w:rsidRPr="00024B38">
        <w:rPr>
          <w:bCs/>
        </w:rPr>
        <w:t>Recursion and financial</w:t>
      </w:r>
      <w:r w:rsidR="00860450" w:rsidRPr="00024B38">
        <w:rPr>
          <w:bCs/>
          <w:lang w:val="en-AU"/>
        </w:rPr>
        <w:t xml:space="preserve"> modelling</w:t>
      </w:r>
      <w:r w:rsidR="00860450">
        <w:rPr>
          <w:bCs/>
          <w:lang w:val="en-AU"/>
        </w:rPr>
        <w:t xml:space="preserve"> </w:t>
      </w:r>
      <w:r w:rsidR="00860450" w:rsidRPr="00860450">
        <w:rPr>
          <w:bCs/>
          <w:sz w:val="40"/>
          <w:lang w:val="en-AU"/>
        </w:rPr>
        <w:t>(superannuation)</w:t>
      </w:r>
    </w:p>
    <w:p w14:paraId="5A798B74" w14:textId="0E78BA7D" w:rsidR="00962404" w:rsidRPr="00DE777F" w:rsidRDefault="00FB3FDD" w:rsidP="00FB3FDD">
      <w:pPr>
        <w:pStyle w:val="VCAAbody"/>
      </w:pPr>
      <w:r w:rsidRPr="00F048B6">
        <w:rPr>
          <w:lang w:val="en-AU"/>
        </w:rPr>
        <w:t>The modelling or probl</w:t>
      </w:r>
      <w:r>
        <w:rPr>
          <w:lang w:val="en-AU"/>
        </w:rPr>
        <w:t>em-solving task is to be of 2–</w:t>
      </w:r>
      <w:r w:rsidRPr="00F048B6">
        <w:rPr>
          <w:lang w:val="en-AU"/>
        </w:rPr>
        <w:t>3 hours</w:t>
      </w:r>
      <w:r>
        <w:rPr>
          <w:lang w:val="en-AU"/>
        </w:rPr>
        <w:t>’</w:t>
      </w:r>
      <w:r w:rsidRPr="00F048B6">
        <w:rPr>
          <w:lang w:val="en-AU"/>
        </w:rPr>
        <w:t xml:space="preserve"> duration over a period of </w:t>
      </w:r>
      <w:r>
        <w:rPr>
          <w:lang w:val="en-AU"/>
        </w:rPr>
        <w:t>one</w:t>
      </w:r>
      <w:r w:rsidRPr="00F048B6">
        <w:rPr>
          <w:lang w:val="en-AU"/>
        </w:rPr>
        <w:t xml:space="preserve"> week.</w:t>
      </w:r>
    </w:p>
    <w:p w14:paraId="10153BC0" w14:textId="7C0EAFC1" w:rsidR="002B4C4E" w:rsidRPr="0084646A" w:rsidRDefault="002B4C4E" w:rsidP="002B4C4E">
      <w:pPr>
        <w:pStyle w:val="VCAAHeading3"/>
      </w:pPr>
      <w:r w:rsidRPr="0084646A">
        <w:t>Introduction</w:t>
      </w:r>
    </w:p>
    <w:p w14:paraId="77ADC9E6" w14:textId="77777777" w:rsidR="009269E2" w:rsidRPr="002B2D31" w:rsidRDefault="009269E2" w:rsidP="00E549AD">
      <w:pPr>
        <w:pStyle w:val="VCAAbody"/>
        <w:rPr>
          <w:bCs/>
          <w:lang w:val="en-AU"/>
        </w:rPr>
      </w:pPr>
      <w:r w:rsidRPr="002B2D31">
        <w:rPr>
          <w:bCs/>
          <w:lang w:val="en-AU"/>
        </w:rPr>
        <w:t>A context such as the following could be used to develop a task which involves using real data as a basis for modelling superannuation final payout figures under various parameters, where students have some input into the selection of parameter values to develop scenarios.</w:t>
      </w:r>
    </w:p>
    <w:p w14:paraId="612765E7" w14:textId="77777777" w:rsidR="009269E2" w:rsidRDefault="009269E2" w:rsidP="00E549AD">
      <w:pPr>
        <w:pStyle w:val="VCAAbody"/>
        <w:rPr>
          <w:bCs/>
          <w:lang w:val="en-AU"/>
        </w:rPr>
      </w:pPr>
      <w:r w:rsidRPr="002B2D31">
        <w:rPr>
          <w:bCs/>
          <w:lang w:val="en-AU"/>
        </w:rPr>
        <w:t>In preparation for this task, data should be gathered on trend estimates for full time adult average weekly ordinary time earnings for people wishing to retire at age 67</w:t>
      </w:r>
      <w:r>
        <w:rPr>
          <w:bCs/>
          <w:lang w:val="en-AU"/>
        </w:rPr>
        <w:t xml:space="preserve"> see</w:t>
      </w:r>
      <w:r w:rsidRPr="002B2D31">
        <w:rPr>
          <w:bCs/>
          <w:lang w:val="en-AU"/>
        </w:rPr>
        <w:t xml:space="preserve"> </w:t>
      </w:r>
      <w:hyperlink r:id="rId11" w:history="1">
        <w:r w:rsidRPr="002B2D31">
          <w:rPr>
            <w:rStyle w:val="Hyperlink"/>
            <w:bCs/>
            <w:lang w:val="en-AU"/>
          </w:rPr>
          <w:t>A</w:t>
        </w:r>
        <w:r w:rsidRPr="002B2D31">
          <w:rPr>
            <w:rStyle w:val="Hyperlink"/>
            <w:bCs/>
            <w:lang w:val="en-AU"/>
          </w:rPr>
          <w:t>B</w:t>
        </w:r>
        <w:r w:rsidRPr="002B2D31">
          <w:rPr>
            <w:rStyle w:val="Hyperlink"/>
            <w:bCs/>
            <w:lang w:val="en-AU"/>
          </w:rPr>
          <w:t>S</w:t>
        </w:r>
      </w:hyperlink>
      <w:r>
        <w:rPr>
          <w:bCs/>
          <w:lang w:val="en-AU"/>
        </w:rPr>
        <w:t>.</w:t>
      </w:r>
    </w:p>
    <w:p w14:paraId="3F7D37BE" w14:textId="77777777" w:rsidR="009269E2" w:rsidRPr="002B2D31" w:rsidRDefault="009269E2" w:rsidP="00E549AD">
      <w:pPr>
        <w:pStyle w:val="VCAAbody"/>
        <w:rPr>
          <w:bCs/>
          <w:lang w:val="en-AU"/>
        </w:rPr>
      </w:pPr>
      <w:r w:rsidRPr="002B2D31">
        <w:rPr>
          <w:bCs/>
          <w:lang w:val="en-AU"/>
        </w:rPr>
        <w:t>Data should also be collected on estimated superannuation pay out figures for full</w:t>
      </w:r>
      <w:r>
        <w:rPr>
          <w:bCs/>
          <w:lang w:val="en-AU"/>
        </w:rPr>
        <w:t>-</w:t>
      </w:r>
      <w:r w:rsidRPr="002B2D31">
        <w:rPr>
          <w:bCs/>
          <w:lang w:val="en-AU"/>
        </w:rPr>
        <w:t>time workers at a range of ages</w:t>
      </w:r>
      <w:r>
        <w:rPr>
          <w:bCs/>
          <w:lang w:val="en-AU"/>
        </w:rPr>
        <w:t xml:space="preserve">. See </w:t>
      </w:r>
      <w:hyperlink r:id="rId12" w:history="1">
        <w:proofErr w:type="spellStart"/>
        <w:r w:rsidRPr="002B2D31">
          <w:rPr>
            <w:rStyle w:val="Hyperlink"/>
            <w:bCs/>
            <w:lang w:val="en-AU"/>
          </w:rPr>
          <w:t>Mone</w:t>
        </w:r>
        <w:r w:rsidRPr="002B2D31">
          <w:rPr>
            <w:rStyle w:val="Hyperlink"/>
            <w:bCs/>
            <w:lang w:val="en-AU"/>
          </w:rPr>
          <w:t>y</w:t>
        </w:r>
        <w:r w:rsidRPr="002B2D31">
          <w:rPr>
            <w:rStyle w:val="Hyperlink"/>
            <w:bCs/>
            <w:lang w:val="en-AU"/>
          </w:rPr>
          <w:t>smart</w:t>
        </w:r>
        <w:proofErr w:type="spellEnd"/>
      </w:hyperlink>
      <w:r>
        <w:rPr>
          <w:bCs/>
          <w:lang w:val="en-AU"/>
        </w:rPr>
        <w:t>.</w:t>
      </w:r>
    </w:p>
    <w:p w14:paraId="6FF18153" w14:textId="77777777" w:rsidR="009269E2" w:rsidRPr="00024B38" w:rsidRDefault="009269E2" w:rsidP="00E549AD">
      <w:pPr>
        <w:pStyle w:val="VCAAHeading4"/>
        <w:rPr>
          <w:bCs/>
        </w:rPr>
      </w:pPr>
      <w:r w:rsidRPr="00024B38">
        <w:rPr>
          <w:bCs/>
        </w:rPr>
        <w:t>Part 1</w:t>
      </w:r>
    </w:p>
    <w:p w14:paraId="1EFB3FF2" w14:textId="77777777" w:rsidR="009269E2" w:rsidRPr="002B2D31" w:rsidRDefault="009269E2" w:rsidP="00E549AD">
      <w:pPr>
        <w:pStyle w:val="VCAAbody"/>
        <w:rPr>
          <w:bCs/>
          <w:lang w:val="en-AU"/>
        </w:rPr>
      </w:pPr>
      <w:r w:rsidRPr="002B2D31">
        <w:rPr>
          <w:bCs/>
          <w:lang w:val="en-AU"/>
        </w:rPr>
        <w:t>Assume Casey is an adult born on 1 July 1992, currently working full time on average adult weekly earnings and wishing to retire at age 67. Casey has a nil superannuation balance, will not make any additional superannuation contributions, and has the compulsory employer superannuation contributions invested in a fund with medium fees and a ‘balanced’ investment profile.</w:t>
      </w:r>
    </w:p>
    <w:p w14:paraId="27D0E4E2" w14:textId="77777777" w:rsidR="009269E2" w:rsidRPr="002B2D31" w:rsidRDefault="009269E2" w:rsidP="009269E2">
      <w:pPr>
        <w:pStyle w:val="VCAAnumbers"/>
        <w:numPr>
          <w:ilvl w:val="0"/>
          <w:numId w:val="6"/>
        </w:numPr>
        <w:tabs>
          <w:tab w:val="left" w:pos="425"/>
        </w:tabs>
        <w:spacing w:before="120" w:after="120" w:line="280" w:lineRule="exact"/>
        <w:ind w:left="426" w:hanging="426"/>
        <w:contextualSpacing/>
        <w:rPr>
          <w:rFonts w:eastAsia="Calibri"/>
          <w:bCs/>
          <w:lang w:val="en-AU"/>
        </w:rPr>
      </w:pPr>
      <w:r w:rsidRPr="002B2D31">
        <w:rPr>
          <w:rFonts w:eastAsia="Calibri"/>
          <w:bCs/>
          <w:lang w:val="en-AU"/>
        </w:rPr>
        <w:t>Use the data collected to determine Casey’s weekly earnings at age 67 if earnings remain consistent with the average adult weekly earnings</w:t>
      </w:r>
      <w:r>
        <w:rPr>
          <w:rFonts w:eastAsia="Calibri"/>
          <w:bCs/>
          <w:lang w:val="en-AU"/>
        </w:rPr>
        <w:t>,</w:t>
      </w:r>
      <w:r w:rsidRPr="002B2D31">
        <w:rPr>
          <w:rFonts w:eastAsia="Calibri"/>
          <w:bCs/>
          <w:lang w:val="en-AU"/>
        </w:rPr>
        <w:t xml:space="preserve"> and trend estimates for weekly earnings and growth in weekly earnings remain consistent over the time of her working life. Use a relation or formula to define a suitable final weekly earnings function for a combination of age, current earnings and estimated rate of earnings growth. Graphically represent the growth in Casey’s weekly earnings over her working life (s</w:t>
      </w:r>
      <w:r w:rsidRPr="002B2D31">
        <w:rPr>
          <w:rFonts w:eastAsia="Calibri"/>
          <w:bCs/>
          <w:color w:val="auto"/>
          <w:lang w:val="en-AU"/>
        </w:rPr>
        <w:t>tart date next birthday on 01 July 2017 and end date 67</w:t>
      </w:r>
      <w:r w:rsidRPr="002B2D31">
        <w:rPr>
          <w:rFonts w:eastAsia="Calibri"/>
          <w:bCs/>
          <w:color w:val="auto"/>
          <w:vertAlign w:val="superscript"/>
          <w:lang w:val="en-AU"/>
        </w:rPr>
        <w:t>th</w:t>
      </w:r>
      <w:r w:rsidRPr="002B2D31">
        <w:rPr>
          <w:rFonts w:eastAsia="Calibri"/>
          <w:bCs/>
          <w:color w:val="auto"/>
          <w:lang w:val="en-AU"/>
        </w:rPr>
        <w:t xml:space="preserve"> birthday on 01 July 2059)</w:t>
      </w:r>
      <w:r w:rsidRPr="00024B38">
        <w:rPr>
          <w:rFonts w:eastAsia="Calibri"/>
          <w:bCs/>
          <w:lang w:val="en-AU"/>
        </w:rPr>
        <w:t>.</w:t>
      </w:r>
    </w:p>
    <w:p w14:paraId="13E96DE6" w14:textId="77777777" w:rsidR="009269E2" w:rsidRPr="002B2D31" w:rsidRDefault="009269E2" w:rsidP="009269E2">
      <w:pPr>
        <w:pStyle w:val="VCAAnumbers"/>
        <w:numPr>
          <w:ilvl w:val="0"/>
          <w:numId w:val="6"/>
        </w:numPr>
        <w:tabs>
          <w:tab w:val="left" w:pos="425"/>
        </w:tabs>
        <w:spacing w:before="120" w:after="120" w:line="280" w:lineRule="exact"/>
        <w:ind w:left="426" w:hanging="426"/>
        <w:contextualSpacing/>
        <w:rPr>
          <w:rFonts w:eastAsia="Calibri"/>
          <w:bCs/>
          <w:lang w:val="en-AU"/>
        </w:rPr>
      </w:pPr>
      <w:r w:rsidRPr="002B2D31">
        <w:rPr>
          <w:rFonts w:eastAsia="Calibri"/>
          <w:bCs/>
          <w:lang w:val="en-AU"/>
        </w:rPr>
        <w:t>Use the data collected to determine the estimated superannuation balance at retirement age for Casey. Use a suitable relation or formula to define a suitable superannuation end balance function for a combination of age, salary and employer contributions. Graphically represent the growth of the superannuation balance over the working life of Casey</w:t>
      </w:r>
      <w:r>
        <w:rPr>
          <w:rFonts w:eastAsia="Calibri"/>
          <w:bCs/>
          <w:lang w:val="en-AU"/>
        </w:rPr>
        <w:t>,</w:t>
      </w:r>
      <w:r w:rsidRPr="002B2D31">
        <w:rPr>
          <w:rFonts w:eastAsia="Calibri"/>
          <w:bCs/>
          <w:lang w:val="en-AU"/>
        </w:rPr>
        <w:t xml:space="preserve"> taking into account all considerations pertaining to superannuation in the profile of Casey above.</w:t>
      </w:r>
    </w:p>
    <w:p w14:paraId="7D29C214" w14:textId="77777777" w:rsidR="009269E2" w:rsidRPr="002B2D31" w:rsidRDefault="009269E2" w:rsidP="009269E2">
      <w:pPr>
        <w:pStyle w:val="VCAAnumbers"/>
        <w:numPr>
          <w:ilvl w:val="0"/>
          <w:numId w:val="6"/>
        </w:numPr>
        <w:tabs>
          <w:tab w:val="left" w:pos="425"/>
        </w:tabs>
        <w:spacing w:before="120" w:after="120" w:line="280" w:lineRule="exact"/>
        <w:ind w:left="426" w:hanging="426"/>
        <w:contextualSpacing/>
        <w:rPr>
          <w:rFonts w:eastAsia="Calibri"/>
          <w:bCs/>
          <w:lang w:val="en-AU"/>
        </w:rPr>
      </w:pPr>
      <w:r w:rsidRPr="002B2D31">
        <w:rPr>
          <w:rFonts w:eastAsia="Calibri"/>
          <w:bCs/>
          <w:lang w:val="en-AU"/>
        </w:rPr>
        <w:t xml:space="preserve">Graphically compare the growth of the superannuation end balance if Casey decides to make set additional contributions of an amount determined by you over the term of Casey’s working life (for example, $200.00 per month). Reflect this change in Casey’s additional contributions in the recurrence relation in b. </w:t>
      </w:r>
      <w:r>
        <w:rPr>
          <w:rFonts w:eastAsia="Calibri"/>
          <w:bCs/>
          <w:lang w:val="en-AU"/>
        </w:rPr>
        <w:t>above.</w:t>
      </w:r>
    </w:p>
    <w:p w14:paraId="46077BF1" w14:textId="77777777" w:rsidR="009269E2" w:rsidRPr="002B2D31" w:rsidRDefault="009269E2" w:rsidP="009269E2">
      <w:pPr>
        <w:pStyle w:val="VCAAnumbers"/>
        <w:numPr>
          <w:ilvl w:val="0"/>
          <w:numId w:val="6"/>
        </w:numPr>
        <w:tabs>
          <w:tab w:val="left" w:pos="425"/>
        </w:tabs>
        <w:spacing w:before="120" w:after="120" w:line="280" w:lineRule="exact"/>
        <w:ind w:left="426" w:hanging="426"/>
        <w:contextualSpacing/>
        <w:rPr>
          <w:bCs/>
        </w:rPr>
      </w:pPr>
      <w:r w:rsidRPr="002B2D31">
        <w:rPr>
          <w:rFonts w:eastAsia="Calibri"/>
          <w:bCs/>
          <w:lang w:val="en-AU"/>
        </w:rPr>
        <w:t>Calculate the difference in end superannuation balances for Casey from b</w:t>
      </w:r>
      <w:r>
        <w:rPr>
          <w:rFonts w:eastAsia="Calibri"/>
          <w:bCs/>
          <w:lang w:val="en-AU"/>
        </w:rPr>
        <w:t>.</w:t>
      </w:r>
      <w:r w:rsidRPr="002B2D31">
        <w:rPr>
          <w:rFonts w:eastAsia="Calibri"/>
          <w:bCs/>
          <w:lang w:val="en-AU"/>
        </w:rPr>
        <w:t xml:space="preserve"> and c. </w:t>
      </w:r>
      <w:r>
        <w:rPr>
          <w:rFonts w:eastAsia="Calibri"/>
          <w:bCs/>
          <w:lang w:val="en-AU"/>
        </w:rPr>
        <w:t>above.</w:t>
      </w:r>
    </w:p>
    <w:p w14:paraId="05FC2A7D" w14:textId="77777777" w:rsidR="009269E2" w:rsidRPr="00024B38" w:rsidRDefault="009269E2" w:rsidP="00E549AD">
      <w:pPr>
        <w:pStyle w:val="VCAAHeading4"/>
        <w:rPr>
          <w:bCs/>
        </w:rPr>
      </w:pPr>
      <w:r>
        <w:rPr>
          <w:bCs/>
        </w:rPr>
        <w:br w:type="page"/>
      </w:r>
      <w:r w:rsidRPr="00024B38">
        <w:rPr>
          <w:bCs/>
        </w:rPr>
        <w:lastRenderedPageBreak/>
        <w:t>Part 2</w:t>
      </w:r>
    </w:p>
    <w:p w14:paraId="35F6B1A3" w14:textId="77777777" w:rsidR="009269E2" w:rsidRPr="002B2D31" w:rsidRDefault="009269E2" w:rsidP="00E549AD">
      <w:pPr>
        <w:pStyle w:val="VCAAbody"/>
        <w:spacing w:line="240" w:lineRule="auto"/>
        <w:rPr>
          <w:bCs/>
          <w:lang w:val="en-AU"/>
        </w:rPr>
      </w:pPr>
      <w:r w:rsidRPr="002B2D31">
        <w:rPr>
          <w:bCs/>
          <w:lang w:val="en-AU"/>
        </w:rPr>
        <w:t xml:space="preserve">Compulsory employer superannuation (SG) contribution rates are typically fixed for a certain period and may vary over time. Assume that </w:t>
      </w:r>
      <w:r w:rsidRPr="002B2D31">
        <w:rPr>
          <w:bCs/>
          <w:color w:val="222222"/>
          <w:lang w:val="en"/>
        </w:rPr>
        <w:t>the employer contribution rate will increase to 12% from 01 July 2017 onwards</w:t>
      </w:r>
      <w:r w:rsidRPr="002B2D31">
        <w:rPr>
          <w:bCs/>
          <w:color w:val="222222"/>
          <w:szCs w:val="20"/>
          <w:lang w:val="en"/>
        </w:rPr>
        <w:t>.</w:t>
      </w:r>
      <w:r w:rsidRPr="002B2D31">
        <w:rPr>
          <w:bCs/>
          <w:lang w:val="en-AU"/>
        </w:rPr>
        <w:t xml:space="preserve"> </w:t>
      </w:r>
    </w:p>
    <w:p w14:paraId="540984D8" w14:textId="77777777" w:rsidR="009269E2" w:rsidRPr="002B2D31" w:rsidRDefault="009269E2" w:rsidP="009269E2">
      <w:pPr>
        <w:pStyle w:val="VCAAnumbers"/>
        <w:numPr>
          <w:ilvl w:val="0"/>
          <w:numId w:val="7"/>
        </w:numPr>
        <w:tabs>
          <w:tab w:val="left" w:pos="425"/>
        </w:tabs>
        <w:spacing w:before="120" w:after="120" w:line="280" w:lineRule="exact"/>
        <w:contextualSpacing/>
        <w:rPr>
          <w:rFonts w:eastAsia="Calibri"/>
          <w:bCs/>
          <w:lang w:val="en-AU"/>
        </w:rPr>
      </w:pPr>
      <w:r w:rsidRPr="002B2D31">
        <w:rPr>
          <w:rFonts w:eastAsia="Calibri"/>
          <w:bCs/>
          <w:lang w:val="en-AU"/>
        </w:rPr>
        <w:t>Determine the new end superannuation balance for Casey based on these changes to the employer’s superannuation contributions based on the superannuation profile for Casey in Part 1</w:t>
      </w:r>
      <w:r>
        <w:rPr>
          <w:rFonts w:eastAsia="Calibri"/>
          <w:bCs/>
          <w:lang w:val="en-AU"/>
        </w:rPr>
        <w:t>.</w:t>
      </w:r>
      <w:r w:rsidRPr="002B2D31">
        <w:rPr>
          <w:rFonts w:eastAsia="Calibri"/>
          <w:bCs/>
          <w:lang w:val="en-AU"/>
        </w:rPr>
        <w:t xml:space="preserve"> </w:t>
      </w:r>
    </w:p>
    <w:p w14:paraId="0C3A2904" w14:textId="77777777" w:rsidR="009269E2" w:rsidRPr="002B2D31" w:rsidRDefault="009269E2" w:rsidP="009269E2">
      <w:pPr>
        <w:pStyle w:val="VCAAnumbers"/>
        <w:numPr>
          <w:ilvl w:val="0"/>
          <w:numId w:val="7"/>
        </w:numPr>
        <w:tabs>
          <w:tab w:val="left" w:pos="425"/>
        </w:tabs>
        <w:spacing w:before="120" w:after="120" w:line="280" w:lineRule="exact"/>
        <w:contextualSpacing/>
        <w:rPr>
          <w:rFonts w:eastAsia="Calibri"/>
          <w:bCs/>
          <w:lang w:val="en-AU"/>
        </w:rPr>
      </w:pPr>
      <w:r w:rsidRPr="002B2D31">
        <w:rPr>
          <w:rFonts w:eastAsia="Calibri"/>
          <w:bCs/>
          <w:lang w:val="en-AU"/>
        </w:rPr>
        <w:t>Graphically represent the altered growth of Casey’s superannuation balance using the start date and end date details from Part 1</w:t>
      </w:r>
      <w:r>
        <w:rPr>
          <w:rFonts w:eastAsia="Calibri"/>
          <w:bCs/>
          <w:lang w:val="en-AU"/>
        </w:rPr>
        <w:t>,</w:t>
      </w:r>
      <w:r w:rsidRPr="002B2D31">
        <w:rPr>
          <w:rFonts w:eastAsia="Calibri"/>
          <w:bCs/>
          <w:lang w:val="en-AU"/>
        </w:rPr>
        <w:t xml:space="preserve"> a</w:t>
      </w:r>
      <w:r>
        <w:rPr>
          <w:rFonts w:eastAsia="Calibri"/>
          <w:bCs/>
          <w:lang w:val="en-AU"/>
        </w:rPr>
        <w:t>.</w:t>
      </w:r>
    </w:p>
    <w:p w14:paraId="2E442A10" w14:textId="77777777" w:rsidR="009269E2" w:rsidRPr="002B2D31" w:rsidRDefault="009269E2" w:rsidP="009269E2">
      <w:pPr>
        <w:pStyle w:val="VCAAnumbers"/>
        <w:numPr>
          <w:ilvl w:val="0"/>
          <w:numId w:val="7"/>
        </w:numPr>
        <w:tabs>
          <w:tab w:val="left" w:pos="425"/>
        </w:tabs>
        <w:spacing w:before="120" w:after="120" w:line="280" w:lineRule="exact"/>
        <w:contextualSpacing/>
        <w:rPr>
          <w:rFonts w:eastAsia="Calibri"/>
          <w:bCs/>
          <w:lang w:val="en-AU"/>
        </w:rPr>
      </w:pPr>
      <w:r w:rsidRPr="002B2D31">
        <w:rPr>
          <w:rFonts w:eastAsia="Calibri"/>
          <w:bCs/>
          <w:lang w:val="en-AU"/>
        </w:rPr>
        <w:t>Calculate the differences in end superannuation balances for Casey from Part 1b</w:t>
      </w:r>
      <w:r>
        <w:rPr>
          <w:rFonts w:eastAsia="Calibri"/>
          <w:bCs/>
          <w:lang w:val="en-AU"/>
        </w:rPr>
        <w:t>.</w:t>
      </w:r>
      <w:r w:rsidRPr="002B2D31">
        <w:rPr>
          <w:rFonts w:eastAsia="Calibri"/>
          <w:bCs/>
          <w:lang w:val="en-AU"/>
        </w:rPr>
        <w:t xml:space="preserve"> and Part 1c.</w:t>
      </w:r>
    </w:p>
    <w:p w14:paraId="2DED0839" w14:textId="77777777" w:rsidR="009269E2" w:rsidRPr="00796D21" w:rsidRDefault="009269E2" w:rsidP="00E549AD">
      <w:pPr>
        <w:pStyle w:val="VCAAHeading4"/>
        <w:rPr>
          <w:bCs/>
        </w:rPr>
      </w:pPr>
      <w:r w:rsidRPr="00796D21">
        <w:rPr>
          <w:bCs/>
        </w:rPr>
        <w:t xml:space="preserve">Part </w:t>
      </w:r>
      <w:r>
        <w:rPr>
          <w:bCs/>
        </w:rPr>
        <w:t>3</w:t>
      </w:r>
    </w:p>
    <w:p w14:paraId="79613FF4" w14:textId="77777777" w:rsidR="009269E2" w:rsidRPr="002B2D31" w:rsidRDefault="009269E2" w:rsidP="009269E2">
      <w:pPr>
        <w:pStyle w:val="VCAAnumbers"/>
        <w:numPr>
          <w:ilvl w:val="0"/>
          <w:numId w:val="0"/>
        </w:numPr>
        <w:spacing w:line="280" w:lineRule="exact"/>
        <w:rPr>
          <w:rFonts w:eastAsia="Calibri"/>
          <w:bCs/>
          <w:lang w:val="en-AU"/>
        </w:rPr>
      </w:pPr>
      <w:r w:rsidRPr="002B2D31">
        <w:rPr>
          <w:rFonts w:eastAsia="Calibri"/>
          <w:bCs/>
          <w:lang w:val="en-AU"/>
        </w:rPr>
        <w:t>Consider and explore the changes to Casey’s superannuation end balance if different investment strategies were adopted for the duration of Casey’s working life (see, for example:</w:t>
      </w:r>
      <w:r w:rsidRPr="002B2D31">
        <w:rPr>
          <w:bCs/>
          <w:lang w:val="en-AU"/>
        </w:rPr>
        <w:t xml:space="preserve"> </w:t>
      </w:r>
      <w:hyperlink r:id="rId13" w:history="1">
        <w:r w:rsidRPr="002B2D31">
          <w:rPr>
            <w:rStyle w:val="Hyperlink"/>
            <w:bCs/>
            <w:lang w:val="en-AU"/>
          </w:rPr>
          <w:t>Superguide</w:t>
        </w:r>
      </w:hyperlink>
      <w:r w:rsidRPr="002B2D31">
        <w:rPr>
          <w:bCs/>
          <w:lang w:val="en-AU"/>
        </w:rPr>
        <w:t xml:space="preserve"> and </w:t>
      </w:r>
      <w:hyperlink r:id="rId14" w:history="1">
        <w:r w:rsidRPr="002B2D31">
          <w:rPr>
            <w:rStyle w:val="Hyperlink"/>
            <w:bCs/>
            <w:lang w:val="en-AU"/>
          </w:rPr>
          <w:t>Australian Super</w:t>
        </w:r>
      </w:hyperlink>
      <w:r>
        <w:rPr>
          <w:bCs/>
          <w:lang w:val="en-AU"/>
        </w:rPr>
        <w:t>.</w:t>
      </w:r>
      <w:r w:rsidRPr="002B2D31">
        <w:rPr>
          <w:bCs/>
          <w:lang w:val="en-AU"/>
        </w:rPr>
        <w:t xml:space="preserve"> </w:t>
      </w:r>
    </w:p>
    <w:p w14:paraId="36363803" w14:textId="77777777" w:rsidR="009269E2" w:rsidRPr="00024B38" w:rsidRDefault="009269E2" w:rsidP="009269E2">
      <w:pPr>
        <w:pStyle w:val="VCAAHeading3"/>
      </w:pPr>
      <w:r w:rsidRPr="00024B38">
        <w:t>Areas of study</w:t>
      </w:r>
    </w:p>
    <w:p w14:paraId="590F9EEF" w14:textId="4A901A0E" w:rsidR="009269E2" w:rsidRDefault="009269E2" w:rsidP="00E549AD">
      <w:pPr>
        <w:pStyle w:val="VCAAbody"/>
        <w:rPr>
          <w:bCs/>
          <w:color w:val="auto"/>
          <w:lang w:val="en-AU"/>
        </w:rPr>
      </w:pPr>
      <w:r w:rsidRPr="002B2D31">
        <w:rPr>
          <w:bCs/>
          <w:color w:val="auto"/>
          <w:lang w:val="en-AU"/>
        </w:rPr>
        <w:t>The following content from the areas of study is addressed through this task.</w:t>
      </w:r>
    </w:p>
    <w:tbl>
      <w:tblPr>
        <w:tblStyle w:val="TableGrid"/>
        <w:tblW w:w="0" w:type="auto"/>
        <w:tblLook w:val="04A0" w:firstRow="1" w:lastRow="0" w:firstColumn="1" w:lastColumn="0" w:noHBand="0" w:noVBand="1"/>
      </w:tblPr>
      <w:tblGrid>
        <w:gridCol w:w="3964"/>
        <w:gridCol w:w="2552"/>
        <w:gridCol w:w="2552"/>
      </w:tblGrid>
      <w:tr w:rsidR="009269E2" w:rsidRPr="00485F20" w14:paraId="548CA64C" w14:textId="77777777" w:rsidTr="00E549AD">
        <w:tc>
          <w:tcPr>
            <w:tcW w:w="9068" w:type="dxa"/>
            <w:gridSpan w:val="3"/>
            <w:shd w:val="clear" w:color="auto" w:fill="0F7EB4"/>
            <w:vAlign w:val="center"/>
          </w:tcPr>
          <w:p w14:paraId="7DFFAC94" w14:textId="77777777" w:rsidR="009269E2" w:rsidRDefault="009269E2" w:rsidP="00E549AD">
            <w:pPr>
              <w:pStyle w:val="VCAAtablecondensedheading"/>
              <w:rPr>
                <w:b/>
                <w:bCs/>
              </w:rPr>
            </w:pPr>
            <w:r>
              <w:rPr>
                <w:b/>
                <w:bCs/>
              </w:rPr>
              <w:t>Unit 3</w:t>
            </w:r>
          </w:p>
        </w:tc>
      </w:tr>
      <w:tr w:rsidR="009269E2" w:rsidRPr="00485F20" w14:paraId="7C5D417D" w14:textId="77777777" w:rsidTr="00E549AD">
        <w:tc>
          <w:tcPr>
            <w:tcW w:w="3964" w:type="dxa"/>
            <w:shd w:val="clear" w:color="auto" w:fill="auto"/>
          </w:tcPr>
          <w:p w14:paraId="32D48741" w14:textId="77777777" w:rsidR="009269E2" w:rsidRPr="00485F20" w:rsidRDefault="009269E2" w:rsidP="00E549AD">
            <w:pPr>
              <w:pStyle w:val="VCAAtablecondensed"/>
            </w:pPr>
            <w:r w:rsidRPr="00485F20">
              <w:rPr>
                <w:b/>
                <w:bCs/>
              </w:rPr>
              <w:t>Area of study</w:t>
            </w:r>
          </w:p>
        </w:tc>
        <w:tc>
          <w:tcPr>
            <w:tcW w:w="2552" w:type="dxa"/>
            <w:shd w:val="clear" w:color="auto" w:fill="auto"/>
          </w:tcPr>
          <w:p w14:paraId="1E5593B2" w14:textId="4BB49A90" w:rsidR="009269E2" w:rsidRPr="00485F20" w:rsidRDefault="009269E2" w:rsidP="00E549AD">
            <w:pPr>
              <w:pStyle w:val="VCAAtablecondensed"/>
              <w:rPr>
                <w:lang w:val="en-AU"/>
              </w:rPr>
            </w:pPr>
            <w:r>
              <w:rPr>
                <w:b/>
                <w:bCs/>
                <w:lang w:val="en-AU"/>
              </w:rPr>
              <w:t>Topic</w:t>
            </w:r>
          </w:p>
        </w:tc>
        <w:tc>
          <w:tcPr>
            <w:tcW w:w="2552" w:type="dxa"/>
          </w:tcPr>
          <w:p w14:paraId="540FC74A" w14:textId="77777777" w:rsidR="009269E2" w:rsidRPr="00485F20" w:rsidRDefault="009269E2" w:rsidP="00E549AD">
            <w:pPr>
              <w:pStyle w:val="VCAAtablecondensed"/>
              <w:rPr>
                <w:b/>
                <w:bCs/>
                <w:lang w:val="en-AU"/>
              </w:rPr>
            </w:pPr>
            <w:r>
              <w:rPr>
                <w:b/>
                <w:bCs/>
                <w:lang w:val="en-AU"/>
              </w:rPr>
              <w:t>Content dot points</w:t>
            </w:r>
          </w:p>
        </w:tc>
      </w:tr>
      <w:tr w:rsidR="009269E2" w14:paraId="1AE7DA76" w14:textId="77777777" w:rsidTr="00E549AD">
        <w:tc>
          <w:tcPr>
            <w:tcW w:w="3964" w:type="dxa"/>
          </w:tcPr>
          <w:p w14:paraId="20A64FEC" w14:textId="377371C8" w:rsidR="009269E2" w:rsidRDefault="009269E2" w:rsidP="009269E2">
            <w:pPr>
              <w:pStyle w:val="VCAAtablecondensed"/>
            </w:pPr>
            <w:r>
              <w:rPr>
                <w:bCs/>
                <w:lang w:val="en-AU"/>
              </w:rPr>
              <w:t>Discrete mathematics</w:t>
            </w:r>
          </w:p>
        </w:tc>
        <w:tc>
          <w:tcPr>
            <w:tcW w:w="2552" w:type="dxa"/>
          </w:tcPr>
          <w:p w14:paraId="7E19EDB2" w14:textId="6408498E" w:rsidR="009269E2" w:rsidRDefault="009269E2" w:rsidP="009269E2">
            <w:pPr>
              <w:pStyle w:val="VCAAtablecondensed"/>
              <w:rPr>
                <w:lang w:val="en-AU"/>
              </w:rPr>
            </w:pPr>
            <w:r w:rsidRPr="00024B38">
              <w:rPr>
                <w:bCs/>
                <w:lang w:val="en-AU"/>
              </w:rPr>
              <w:t>Compound interest investments and loans</w:t>
            </w:r>
          </w:p>
        </w:tc>
        <w:tc>
          <w:tcPr>
            <w:tcW w:w="2552" w:type="dxa"/>
          </w:tcPr>
          <w:p w14:paraId="1072B073" w14:textId="27B56AED" w:rsidR="009269E2" w:rsidRDefault="009269E2" w:rsidP="009269E2">
            <w:pPr>
              <w:pStyle w:val="VCAAtablecondensed"/>
              <w:spacing w:before="0"/>
            </w:pPr>
            <w:r w:rsidRPr="002B2D31">
              <w:rPr>
                <w:bCs/>
                <w:lang w:val="en-AU"/>
              </w:rPr>
              <w:t>1, 2, 3, 4</w:t>
            </w:r>
          </w:p>
        </w:tc>
      </w:tr>
    </w:tbl>
    <w:p w14:paraId="21503097" w14:textId="77777777" w:rsidR="009269E2" w:rsidRPr="00024B38" w:rsidRDefault="009269E2" w:rsidP="009269E2">
      <w:pPr>
        <w:pStyle w:val="VCAAHeading3"/>
      </w:pPr>
      <w:r w:rsidRPr="00024B38">
        <w:t>Outcomes</w:t>
      </w:r>
    </w:p>
    <w:p w14:paraId="1C64C588" w14:textId="6F6C16F4" w:rsidR="009269E2" w:rsidRDefault="009269E2" w:rsidP="00E549AD">
      <w:pPr>
        <w:pStyle w:val="VCAAbody"/>
        <w:rPr>
          <w:bCs/>
          <w:color w:val="auto"/>
          <w:lang w:val="en-AU"/>
        </w:rPr>
      </w:pPr>
      <w:r w:rsidRPr="002B2D31">
        <w:rPr>
          <w:bCs/>
          <w:color w:val="auto"/>
          <w:lang w:val="en-AU"/>
        </w:rPr>
        <w:t>The following outcomes, key knowledge and key skills are addressed through this task.</w:t>
      </w:r>
    </w:p>
    <w:tbl>
      <w:tblPr>
        <w:tblStyle w:val="TableGrid"/>
        <w:tblW w:w="0" w:type="auto"/>
        <w:tblLook w:val="04A0" w:firstRow="1" w:lastRow="0" w:firstColumn="1" w:lastColumn="0" w:noHBand="0" w:noVBand="1"/>
      </w:tblPr>
      <w:tblGrid>
        <w:gridCol w:w="2975"/>
        <w:gridCol w:w="2975"/>
        <w:gridCol w:w="2976"/>
      </w:tblGrid>
      <w:tr w:rsidR="009269E2" w:rsidRPr="00FA2380" w14:paraId="75545DE7" w14:textId="77777777" w:rsidTr="00E549AD">
        <w:tc>
          <w:tcPr>
            <w:tcW w:w="8926" w:type="dxa"/>
            <w:gridSpan w:val="3"/>
            <w:shd w:val="clear" w:color="auto" w:fill="0F7EB4"/>
            <w:vAlign w:val="center"/>
          </w:tcPr>
          <w:p w14:paraId="09C212B5" w14:textId="0B22FEF1" w:rsidR="009269E2" w:rsidRPr="00FA2380" w:rsidRDefault="009269E2" w:rsidP="00E549AD">
            <w:pPr>
              <w:pStyle w:val="VCAAtablecondensedheading"/>
              <w:rPr>
                <w:b/>
                <w:bCs/>
              </w:rPr>
            </w:pPr>
            <w:r>
              <w:rPr>
                <w:b/>
                <w:lang w:val="en-AU"/>
              </w:rPr>
              <w:t xml:space="preserve">Unit </w:t>
            </w:r>
            <w:r>
              <w:rPr>
                <w:b/>
                <w:lang w:val="en-AU"/>
              </w:rPr>
              <w:t>3</w:t>
            </w:r>
          </w:p>
        </w:tc>
      </w:tr>
      <w:tr w:rsidR="009269E2" w:rsidRPr="00FA2380" w14:paraId="52852514" w14:textId="77777777" w:rsidTr="00E549AD">
        <w:tc>
          <w:tcPr>
            <w:tcW w:w="2975" w:type="dxa"/>
            <w:shd w:val="clear" w:color="auto" w:fill="auto"/>
          </w:tcPr>
          <w:p w14:paraId="40A350F1" w14:textId="77777777" w:rsidR="009269E2" w:rsidRPr="00E850AC" w:rsidRDefault="009269E2" w:rsidP="00E549AD">
            <w:pPr>
              <w:pStyle w:val="VCAAtablecondensedheading"/>
              <w:rPr>
                <w:b/>
                <w:color w:val="auto"/>
                <w:lang w:val="en-AU"/>
              </w:rPr>
            </w:pPr>
            <w:r w:rsidRPr="00E850AC">
              <w:rPr>
                <w:b/>
                <w:color w:val="auto"/>
                <w:lang w:val="en-AU"/>
              </w:rPr>
              <w:t>Outcome</w:t>
            </w:r>
          </w:p>
        </w:tc>
        <w:tc>
          <w:tcPr>
            <w:tcW w:w="2975" w:type="dxa"/>
            <w:shd w:val="clear" w:color="auto" w:fill="auto"/>
          </w:tcPr>
          <w:p w14:paraId="5465084A" w14:textId="77777777" w:rsidR="009269E2" w:rsidRPr="00E850AC" w:rsidRDefault="009269E2" w:rsidP="00E549AD">
            <w:pPr>
              <w:pStyle w:val="VCAAtablecondensedheading"/>
              <w:rPr>
                <w:b/>
                <w:color w:val="auto"/>
                <w:lang w:val="en-AU"/>
              </w:rPr>
            </w:pPr>
            <w:r w:rsidRPr="00E850AC">
              <w:rPr>
                <w:b/>
                <w:color w:val="auto"/>
                <w:lang w:val="en-AU"/>
              </w:rPr>
              <w:t>Key knowledge dot point</w:t>
            </w:r>
          </w:p>
        </w:tc>
        <w:tc>
          <w:tcPr>
            <w:tcW w:w="2976" w:type="dxa"/>
            <w:shd w:val="clear" w:color="auto" w:fill="auto"/>
          </w:tcPr>
          <w:p w14:paraId="42FBD773" w14:textId="77777777" w:rsidR="009269E2" w:rsidRPr="00E850AC" w:rsidRDefault="009269E2" w:rsidP="00E549AD">
            <w:pPr>
              <w:pStyle w:val="VCAAtablecondensedheading"/>
              <w:rPr>
                <w:b/>
                <w:color w:val="auto"/>
                <w:lang w:val="en-AU"/>
              </w:rPr>
            </w:pPr>
            <w:r w:rsidRPr="00E850AC">
              <w:rPr>
                <w:b/>
                <w:color w:val="auto"/>
                <w:lang w:val="en-AU"/>
              </w:rPr>
              <w:t>Key skills dot poin</w:t>
            </w:r>
            <w:r>
              <w:rPr>
                <w:b/>
                <w:color w:val="auto"/>
                <w:lang w:val="en-AU"/>
              </w:rPr>
              <w:t>t</w:t>
            </w:r>
          </w:p>
        </w:tc>
      </w:tr>
      <w:tr w:rsidR="009269E2" w14:paraId="4B9F0304" w14:textId="77777777" w:rsidTr="00EC3480">
        <w:tc>
          <w:tcPr>
            <w:tcW w:w="2975" w:type="dxa"/>
          </w:tcPr>
          <w:p w14:paraId="58EC42FC" w14:textId="0F10B3DF" w:rsidR="009269E2" w:rsidRPr="000E2B81" w:rsidRDefault="009269E2" w:rsidP="009269E2">
            <w:pPr>
              <w:pStyle w:val="VCAAtablecondensed"/>
              <w:rPr>
                <w:bCs/>
              </w:rPr>
            </w:pPr>
            <w:r w:rsidRPr="002B2D31">
              <w:rPr>
                <w:bCs/>
                <w:lang w:val="en-AU"/>
              </w:rPr>
              <w:t>1</w:t>
            </w:r>
          </w:p>
        </w:tc>
        <w:tc>
          <w:tcPr>
            <w:tcW w:w="2975" w:type="dxa"/>
          </w:tcPr>
          <w:p w14:paraId="7AD2ABC3" w14:textId="09F3CE70" w:rsidR="009269E2" w:rsidRDefault="009269E2" w:rsidP="009269E2">
            <w:pPr>
              <w:pStyle w:val="VCAAtablecondensed"/>
            </w:pPr>
            <w:r w:rsidRPr="002B2D31">
              <w:rPr>
                <w:bCs/>
                <w:lang w:val="en-AU"/>
              </w:rPr>
              <w:t>1, 2, 3, 4</w:t>
            </w:r>
          </w:p>
        </w:tc>
        <w:tc>
          <w:tcPr>
            <w:tcW w:w="2976" w:type="dxa"/>
          </w:tcPr>
          <w:p w14:paraId="7F145F75" w14:textId="56A58793" w:rsidR="009269E2" w:rsidRDefault="009269E2" w:rsidP="009269E2">
            <w:pPr>
              <w:pStyle w:val="VCAAtablecondensed"/>
            </w:pPr>
            <w:r w:rsidRPr="002B2D31">
              <w:rPr>
                <w:bCs/>
                <w:lang w:val="en-AU"/>
              </w:rPr>
              <w:t>1, 2, 3, 4, 5</w:t>
            </w:r>
          </w:p>
        </w:tc>
      </w:tr>
      <w:tr w:rsidR="009269E2" w14:paraId="266D69F2" w14:textId="77777777" w:rsidTr="00EC3480">
        <w:tc>
          <w:tcPr>
            <w:tcW w:w="2975" w:type="dxa"/>
          </w:tcPr>
          <w:p w14:paraId="2E437F81" w14:textId="1CCF1569" w:rsidR="009269E2" w:rsidRPr="000E2B81" w:rsidRDefault="009269E2" w:rsidP="009269E2">
            <w:pPr>
              <w:pStyle w:val="VCAAtablecondensed"/>
              <w:rPr>
                <w:bCs/>
              </w:rPr>
            </w:pPr>
            <w:r w:rsidRPr="002B2D31">
              <w:rPr>
                <w:bCs/>
                <w:lang w:val="en-AU"/>
              </w:rPr>
              <w:t>2</w:t>
            </w:r>
          </w:p>
        </w:tc>
        <w:tc>
          <w:tcPr>
            <w:tcW w:w="2975" w:type="dxa"/>
          </w:tcPr>
          <w:p w14:paraId="6E7F438A" w14:textId="59928F5B" w:rsidR="009269E2" w:rsidRDefault="009269E2" w:rsidP="009269E2">
            <w:pPr>
              <w:pStyle w:val="VCAAtablecondensed"/>
            </w:pPr>
            <w:r w:rsidRPr="002B2D31">
              <w:rPr>
                <w:bCs/>
                <w:lang w:val="en-AU"/>
              </w:rPr>
              <w:t>1, 2, 3, 4</w:t>
            </w:r>
          </w:p>
        </w:tc>
        <w:tc>
          <w:tcPr>
            <w:tcW w:w="2976" w:type="dxa"/>
          </w:tcPr>
          <w:p w14:paraId="234EF082" w14:textId="1A82803D" w:rsidR="009269E2" w:rsidRDefault="009269E2" w:rsidP="009269E2">
            <w:pPr>
              <w:pStyle w:val="VCAAtablecondensed"/>
            </w:pPr>
            <w:r w:rsidRPr="002B2D31">
              <w:rPr>
                <w:bCs/>
                <w:lang w:val="en-AU"/>
              </w:rPr>
              <w:t>2, 4</w:t>
            </w:r>
          </w:p>
        </w:tc>
      </w:tr>
      <w:tr w:rsidR="009269E2" w14:paraId="73773CFF" w14:textId="77777777" w:rsidTr="00EC3480">
        <w:tc>
          <w:tcPr>
            <w:tcW w:w="2975" w:type="dxa"/>
          </w:tcPr>
          <w:p w14:paraId="4E861DAA" w14:textId="5AC964CE" w:rsidR="009269E2" w:rsidRPr="000E2B81" w:rsidRDefault="009269E2" w:rsidP="009269E2">
            <w:pPr>
              <w:pStyle w:val="VCAAtablecondensed"/>
              <w:rPr>
                <w:bCs/>
              </w:rPr>
            </w:pPr>
            <w:r w:rsidRPr="002B2D31">
              <w:rPr>
                <w:bCs/>
                <w:lang w:val="en-AU"/>
              </w:rPr>
              <w:t>3</w:t>
            </w:r>
          </w:p>
        </w:tc>
        <w:tc>
          <w:tcPr>
            <w:tcW w:w="2975" w:type="dxa"/>
          </w:tcPr>
          <w:p w14:paraId="0A2CD7CE" w14:textId="0D0C5AD7" w:rsidR="009269E2" w:rsidRDefault="009269E2" w:rsidP="009269E2">
            <w:pPr>
              <w:pStyle w:val="VCAAtablecondensed"/>
            </w:pPr>
            <w:r w:rsidRPr="002B2D31">
              <w:rPr>
                <w:bCs/>
                <w:lang w:val="en-AU"/>
              </w:rPr>
              <w:t>1, 2, 3, 4, 5, 7</w:t>
            </w:r>
          </w:p>
        </w:tc>
        <w:tc>
          <w:tcPr>
            <w:tcW w:w="2976" w:type="dxa"/>
          </w:tcPr>
          <w:p w14:paraId="755FB387" w14:textId="26984488" w:rsidR="009269E2" w:rsidRDefault="009269E2" w:rsidP="009269E2">
            <w:pPr>
              <w:pStyle w:val="VCAAtablecondensed"/>
            </w:pPr>
            <w:r w:rsidRPr="002B2D31">
              <w:rPr>
                <w:bCs/>
                <w:lang w:val="en-AU"/>
              </w:rPr>
              <w:t>1, 3, 4, 5, 6, 9, 10, 11, 12</w:t>
            </w:r>
          </w:p>
        </w:tc>
      </w:tr>
    </w:tbl>
    <w:p w14:paraId="20B9760B" w14:textId="05F250F4" w:rsidR="009269E2" w:rsidRDefault="009269E2" w:rsidP="00E549AD">
      <w:pPr>
        <w:pStyle w:val="VCAAbody"/>
        <w:rPr>
          <w:bCs/>
          <w:color w:val="auto"/>
          <w:lang w:val="en-AU"/>
        </w:rPr>
      </w:pPr>
    </w:p>
    <w:sectPr w:rsidR="009269E2" w:rsidSect="00B230DB">
      <w:headerReference w:type="default" r:id="rId15"/>
      <w:footerReference w:type="default" r:id="rId16"/>
      <w:headerReference w:type="first" r:id="rId17"/>
      <w:footerReference w:type="first" r:id="rId18"/>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3BC6FFDC" w:rsidR="00FD29D3" w:rsidRPr="00D86DE4" w:rsidRDefault="009269E2"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D55784">
          <w:rPr>
            <w:color w:val="999999" w:themeColor="accent2"/>
          </w:rPr>
          <w:t>VCE General Mathematics Unit 3</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3F846A85"/>
    <w:multiLevelType w:val="hybridMultilevel"/>
    <w:tmpl w:val="E20699E6"/>
    <w:lvl w:ilvl="0" w:tplc="FFFFFFFF">
      <w:start w:val="1"/>
      <w:numFmt w:val="bullet"/>
      <w:pStyle w:val="NormalBullet"/>
      <w:lvlText w:val=""/>
      <w:lvlJc w:val="left"/>
      <w:pPr>
        <w:tabs>
          <w:tab w:val="num" w:pos="5040"/>
        </w:tabs>
        <w:ind w:left="50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0239FE"/>
    <w:multiLevelType w:val="hybridMultilevel"/>
    <w:tmpl w:val="FA6A491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AB35BEA"/>
    <w:multiLevelType w:val="hybridMultilevel"/>
    <w:tmpl w:val="68D2A1E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2"/>
  </w:num>
  <w:num w:numId="6">
    <w:abstractNumId w:val="3"/>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6E59"/>
    <w:rsid w:val="0005780E"/>
    <w:rsid w:val="00065CC6"/>
    <w:rsid w:val="00093749"/>
    <w:rsid w:val="000A71F7"/>
    <w:rsid w:val="000E2B81"/>
    <w:rsid w:val="000F09E4"/>
    <w:rsid w:val="000F16FD"/>
    <w:rsid w:val="000F5AAF"/>
    <w:rsid w:val="00143520"/>
    <w:rsid w:val="00153AD2"/>
    <w:rsid w:val="001779EA"/>
    <w:rsid w:val="00181204"/>
    <w:rsid w:val="001D3246"/>
    <w:rsid w:val="002029F5"/>
    <w:rsid w:val="00213196"/>
    <w:rsid w:val="002279BA"/>
    <w:rsid w:val="002329F3"/>
    <w:rsid w:val="00243F0D"/>
    <w:rsid w:val="0025133F"/>
    <w:rsid w:val="00260349"/>
    <w:rsid w:val="00260767"/>
    <w:rsid w:val="002647BB"/>
    <w:rsid w:val="002754C1"/>
    <w:rsid w:val="002841C8"/>
    <w:rsid w:val="0028516B"/>
    <w:rsid w:val="00286C34"/>
    <w:rsid w:val="002A37F4"/>
    <w:rsid w:val="002B4C4E"/>
    <w:rsid w:val="002C6F90"/>
    <w:rsid w:val="002E48C4"/>
    <w:rsid w:val="002E4FB5"/>
    <w:rsid w:val="00302FB8"/>
    <w:rsid w:val="00304EA1"/>
    <w:rsid w:val="00314D81"/>
    <w:rsid w:val="00315617"/>
    <w:rsid w:val="00322FC6"/>
    <w:rsid w:val="00340B9F"/>
    <w:rsid w:val="0035293F"/>
    <w:rsid w:val="00352D77"/>
    <w:rsid w:val="00366422"/>
    <w:rsid w:val="00391986"/>
    <w:rsid w:val="003A00B4"/>
    <w:rsid w:val="003A19EB"/>
    <w:rsid w:val="003A635E"/>
    <w:rsid w:val="003C5E71"/>
    <w:rsid w:val="00402F7C"/>
    <w:rsid w:val="0040589B"/>
    <w:rsid w:val="0041382E"/>
    <w:rsid w:val="00417AA3"/>
    <w:rsid w:val="00425DFE"/>
    <w:rsid w:val="00434EDB"/>
    <w:rsid w:val="00440B32"/>
    <w:rsid w:val="0046078D"/>
    <w:rsid w:val="00462845"/>
    <w:rsid w:val="00485F20"/>
    <w:rsid w:val="00495C80"/>
    <w:rsid w:val="004A2ED8"/>
    <w:rsid w:val="004F5BDA"/>
    <w:rsid w:val="004F65FF"/>
    <w:rsid w:val="0051631E"/>
    <w:rsid w:val="00524BAE"/>
    <w:rsid w:val="00537820"/>
    <w:rsid w:val="00537A1F"/>
    <w:rsid w:val="00560F22"/>
    <w:rsid w:val="00564A78"/>
    <w:rsid w:val="00566029"/>
    <w:rsid w:val="005923CB"/>
    <w:rsid w:val="005B391B"/>
    <w:rsid w:val="005D0B25"/>
    <w:rsid w:val="005D3D78"/>
    <w:rsid w:val="005E2EF0"/>
    <w:rsid w:val="005F0486"/>
    <w:rsid w:val="005F4092"/>
    <w:rsid w:val="006002F7"/>
    <w:rsid w:val="00607C26"/>
    <w:rsid w:val="0061197D"/>
    <w:rsid w:val="0061630B"/>
    <w:rsid w:val="00624919"/>
    <w:rsid w:val="00654A3F"/>
    <w:rsid w:val="0068471E"/>
    <w:rsid w:val="00684F98"/>
    <w:rsid w:val="00685818"/>
    <w:rsid w:val="00693FFD"/>
    <w:rsid w:val="006C0948"/>
    <w:rsid w:val="006D2159"/>
    <w:rsid w:val="006F787C"/>
    <w:rsid w:val="00702636"/>
    <w:rsid w:val="00724507"/>
    <w:rsid w:val="00727716"/>
    <w:rsid w:val="00744BC4"/>
    <w:rsid w:val="0075391A"/>
    <w:rsid w:val="00773E6C"/>
    <w:rsid w:val="0077468E"/>
    <w:rsid w:val="00777727"/>
    <w:rsid w:val="007807F1"/>
    <w:rsid w:val="00781FB1"/>
    <w:rsid w:val="007C4ED7"/>
    <w:rsid w:val="007D1B6D"/>
    <w:rsid w:val="007E7F95"/>
    <w:rsid w:val="00801881"/>
    <w:rsid w:val="00805270"/>
    <w:rsid w:val="00805FDF"/>
    <w:rsid w:val="00813C37"/>
    <w:rsid w:val="008154B5"/>
    <w:rsid w:val="00820F1F"/>
    <w:rsid w:val="00823962"/>
    <w:rsid w:val="00827233"/>
    <w:rsid w:val="00830E27"/>
    <w:rsid w:val="00850410"/>
    <w:rsid w:val="00852719"/>
    <w:rsid w:val="00852BD0"/>
    <w:rsid w:val="00860115"/>
    <w:rsid w:val="00860450"/>
    <w:rsid w:val="0088783C"/>
    <w:rsid w:val="009269E2"/>
    <w:rsid w:val="009370BC"/>
    <w:rsid w:val="00962404"/>
    <w:rsid w:val="00970580"/>
    <w:rsid w:val="00984E15"/>
    <w:rsid w:val="0098739B"/>
    <w:rsid w:val="009A0DA4"/>
    <w:rsid w:val="009A192D"/>
    <w:rsid w:val="009B2060"/>
    <w:rsid w:val="009B61E5"/>
    <w:rsid w:val="009D1E89"/>
    <w:rsid w:val="009D6BBE"/>
    <w:rsid w:val="009E5707"/>
    <w:rsid w:val="009F48C2"/>
    <w:rsid w:val="00A13080"/>
    <w:rsid w:val="00A17661"/>
    <w:rsid w:val="00A24B2D"/>
    <w:rsid w:val="00A40966"/>
    <w:rsid w:val="00A921E0"/>
    <w:rsid w:val="00A922F4"/>
    <w:rsid w:val="00AA6397"/>
    <w:rsid w:val="00AD63F0"/>
    <w:rsid w:val="00AE5526"/>
    <w:rsid w:val="00AF051B"/>
    <w:rsid w:val="00AF2753"/>
    <w:rsid w:val="00B01578"/>
    <w:rsid w:val="00B01B8A"/>
    <w:rsid w:val="00B0611A"/>
    <w:rsid w:val="00B0738F"/>
    <w:rsid w:val="00B13D3B"/>
    <w:rsid w:val="00B230DB"/>
    <w:rsid w:val="00B26601"/>
    <w:rsid w:val="00B41951"/>
    <w:rsid w:val="00B41ED8"/>
    <w:rsid w:val="00B530A6"/>
    <w:rsid w:val="00B53229"/>
    <w:rsid w:val="00B62480"/>
    <w:rsid w:val="00B81B70"/>
    <w:rsid w:val="00BA3868"/>
    <w:rsid w:val="00BA55BB"/>
    <w:rsid w:val="00BB3BAB"/>
    <w:rsid w:val="00BD0724"/>
    <w:rsid w:val="00BD2B91"/>
    <w:rsid w:val="00BE3952"/>
    <w:rsid w:val="00BE5521"/>
    <w:rsid w:val="00BF41AE"/>
    <w:rsid w:val="00BF6C23"/>
    <w:rsid w:val="00C25E49"/>
    <w:rsid w:val="00C519C2"/>
    <w:rsid w:val="00C53263"/>
    <w:rsid w:val="00C57698"/>
    <w:rsid w:val="00C65E5B"/>
    <w:rsid w:val="00C75827"/>
    <w:rsid w:val="00C75F1D"/>
    <w:rsid w:val="00C87300"/>
    <w:rsid w:val="00C904AB"/>
    <w:rsid w:val="00C95156"/>
    <w:rsid w:val="00CA0DC2"/>
    <w:rsid w:val="00CB68E8"/>
    <w:rsid w:val="00CD3D0B"/>
    <w:rsid w:val="00D04F01"/>
    <w:rsid w:val="00D06414"/>
    <w:rsid w:val="00D12E5B"/>
    <w:rsid w:val="00D219A2"/>
    <w:rsid w:val="00D24E5A"/>
    <w:rsid w:val="00D338E4"/>
    <w:rsid w:val="00D51947"/>
    <w:rsid w:val="00D532F0"/>
    <w:rsid w:val="00D55784"/>
    <w:rsid w:val="00D56E0F"/>
    <w:rsid w:val="00D71CB8"/>
    <w:rsid w:val="00D734BF"/>
    <w:rsid w:val="00D73E26"/>
    <w:rsid w:val="00D77413"/>
    <w:rsid w:val="00D82759"/>
    <w:rsid w:val="00D86DE4"/>
    <w:rsid w:val="00DB50B3"/>
    <w:rsid w:val="00DD4FB2"/>
    <w:rsid w:val="00DE1909"/>
    <w:rsid w:val="00DE51DB"/>
    <w:rsid w:val="00DE777F"/>
    <w:rsid w:val="00E11872"/>
    <w:rsid w:val="00E148EE"/>
    <w:rsid w:val="00E23F1D"/>
    <w:rsid w:val="00E30E05"/>
    <w:rsid w:val="00E36361"/>
    <w:rsid w:val="00E55AE9"/>
    <w:rsid w:val="00E850AC"/>
    <w:rsid w:val="00EA196E"/>
    <w:rsid w:val="00EA2D2C"/>
    <w:rsid w:val="00EB0C84"/>
    <w:rsid w:val="00EC70E6"/>
    <w:rsid w:val="00F17FDE"/>
    <w:rsid w:val="00F3170F"/>
    <w:rsid w:val="00F40D53"/>
    <w:rsid w:val="00F4525C"/>
    <w:rsid w:val="00F50D86"/>
    <w:rsid w:val="00F73679"/>
    <w:rsid w:val="00F94524"/>
    <w:rsid w:val="00FA2380"/>
    <w:rsid w:val="00FB3FDD"/>
    <w:rsid w:val="00FC66B2"/>
    <w:rsid w:val="00FD29D3"/>
    <w:rsid w:val="00FE3F0B"/>
    <w:rsid w:val="00FF1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3">
    <w:name w:val="heading 3"/>
    <w:basedOn w:val="Normal"/>
    <w:next w:val="Normal"/>
    <w:link w:val="Heading3Char"/>
    <w:qFormat/>
    <w:rsid w:val="007E7F95"/>
    <w:pPr>
      <w:keepNext/>
      <w:spacing w:before="240" w:after="60" w:line="240" w:lineRule="auto"/>
      <w:outlineLvl w:val="2"/>
    </w:pPr>
    <w:rPr>
      <w:rFonts w:ascii="Arial" w:eastAsia="MS Mincho" w:hAnsi="Arial" w:cs="Times New Roman"/>
      <w:b/>
      <w:sz w:val="26"/>
      <w:szCs w:val="26"/>
      <w:lang w:val="en-AU" w:eastAsia="ja-JP"/>
    </w:rPr>
  </w:style>
  <w:style w:type="paragraph" w:styleId="Heading4">
    <w:name w:val="heading 4"/>
    <w:basedOn w:val="Normal"/>
    <w:next w:val="Normal"/>
    <w:link w:val="Heading4Char"/>
    <w:qFormat/>
    <w:rsid w:val="007E7F95"/>
    <w:pPr>
      <w:keepNext/>
      <w:spacing w:after="0" w:line="360" w:lineRule="auto"/>
      <w:outlineLvl w:val="3"/>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6002F7"/>
    <w:pPr>
      <w:spacing w:before="0" w:after="0" w:line="360" w:lineRule="auto"/>
      <w:ind w:left="425" w:firstLine="1"/>
    </w:pPr>
    <w:rPr>
      <w:rFonts w:eastAsia="Times New Roman"/>
      <w:kern w:val="22"/>
      <w:lang w:val="en-GB" w:eastAsia="ja-JP"/>
    </w:rPr>
  </w:style>
  <w:style w:type="paragraph" w:customStyle="1" w:styleId="VCAAbulletlevel2">
    <w:name w:val="VCAA bullet level 2"/>
    <w:basedOn w:val="VCAAbullet"/>
    <w:qFormat/>
    <w:rsid w:val="00DE51DB"/>
    <w:pPr>
      <w:numPr>
        <w:numId w:val="1"/>
      </w:numPr>
      <w:ind w:left="850" w:hanging="425"/>
    </w:pPr>
  </w:style>
  <w:style w:type="paragraph" w:customStyle="1" w:styleId="VCAAnumbers">
    <w:name w:val="VCAA numbers"/>
    <w:basedOn w:val="VCAAbullet"/>
    <w:qFormat/>
    <w:rsid w:val="0035293F"/>
    <w:pPr>
      <w:numPr>
        <w:numId w:val="2"/>
      </w:numPr>
      <w:ind w:left="425" w:hanging="425"/>
    </w:pPr>
    <w:rPr>
      <w:lang w:val="en-US"/>
    </w:rPr>
  </w:style>
  <w:style w:type="paragraph" w:customStyle="1" w:styleId="VCAAtablecondensedbullet">
    <w:name w:val="VCAA table condensed bullet"/>
    <w:basedOn w:val="Normal"/>
    <w:qFormat/>
    <w:rsid w:val="00495C80"/>
    <w:pPr>
      <w:numPr>
        <w:numId w:val="3"/>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4"/>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3Char">
    <w:name w:val="Heading 3 Char"/>
    <w:basedOn w:val="DefaultParagraphFont"/>
    <w:link w:val="Heading3"/>
    <w:rsid w:val="007E7F95"/>
    <w:rPr>
      <w:rFonts w:ascii="Arial" w:eastAsia="MS Mincho" w:hAnsi="Arial" w:cs="Times New Roman"/>
      <w:b/>
      <w:sz w:val="26"/>
      <w:szCs w:val="26"/>
      <w:lang w:val="en-AU" w:eastAsia="ja-JP"/>
    </w:rPr>
  </w:style>
  <w:style w:type="character" w:customStyle="1" w:styleId="Heading4Char">
    <w:name w:val="Heading 4 Char"/>
    <w:basedOn w:val="DefaultParagraphFont"/>
    <w:link w:val="Heading4"/>
    <w:rsid w:val="007E7F95"/>
    <w:rPr>
      <w:rFonts w:ascii="Times New Roman" w:eastAsia="Times New Roman" w:hAnsi="Times New Roman" w:cs="Times New Roman"/>
      <w:b/>
      <w:sz w:val="28"/>
      <w:szCs w:val="20"/>
    </w:rPr>
  </w:style>
  <w:style w:type="paragraph" w:styleId="ListParagraph">
    <w:name w:val="List Paragraph"/>
    <w:basedOn w:val="Normal"/>
    <w:uiPriority w:val="34"/>
    <w:qFormat/>
    <w:rsid w:val="009A0DA4"/>
    <w:pPr>
      <w:ind w:left="720"/>
      <w:contextualSpacing/>
    </w:pPr>
  </w:style>
  <w:style w:type="paragraph" w:customStyle="1" w:styleId="ColorfulList-Accent11">
    <w:name w:val="Colorful List - Accent 11"/>
    <w:basedOn w:val="Normal"/>
    <w:uiPriority w:val="34"/>
    <w:qFormat/>
    <w:rsid w:val="00402F7C"/>
    <w:pPr>
      <w:spacing w:after="0" w:line="240" w:lineRule="auto"/>
      <w:ind w:left="720"/>
      <w:contextualSpacing/>
    </w:pPr>
    <w:rPr>
      <w:rFonts w:ascii="Arial" w:eastAsia="MS Mincho" w:hAnsi="Arial" w:cs="Times New Roman"/>
      <w:sz w:val="24"/>
      <w:szCs w:val="24"/>
      <w:lang w:val="en-AU" w:eastAsia="ja-JP"/>
    </w:rPr>
  </w:style>
  <w:style w:type="paragraph" w:styleId="NoSpacing">
    <w:name w:val="No Spacing"/>
    <w:uiPriority w:val="1"/>
    <w:qFormat/>
    <w:rsid w:val="00560F22"/>
    <w:pPr>
      <w:spacing w:after="0" w:line="240" w:lineRule="auto"/>
    </w:pPr>
    <w:rPr>
      <w:rFonts w:ascii="Arial" w:eastAsia="Arial" w:hAnsi="Arial" w:cs="Times New Roman"/>
      <w:lang w:val="en-AU"/>
    </w:rPr>
  </w:style>
  <w:style w:type="paragraph" w:customStyle="1" w:styleId="MTDisplayEquation">
    <w:name w:val="MTDisplayEquation"/>
    <w:basedOn w:val="VCAAbody"/>
    <w:next w:val="Normal"/>
    <w:link w:val="MTDisplayEquationChar"/>
    <w:rsid w:val="00485F20"/>
    <w:pPr>
      <w:tabs>
        <w:tab w:val="center" w:pos="4820"/>
        <w:tab w:val="right" w:pos="9640"/>
      </w:tabs>
    </w:pPr>
    <w:rPr>
      <w:rFonts w:eastAsia="Arial"/>
      <w:color w:val="000000"/>
    </w:rPr>
  </w:style>
  <w:style w:type="character" w:customStyle="1" w:styleId="MTDisplayEquationChar">
    <w:name w:val="MTDisplayEquation Char"/>
    <w:basedOn w:val="VCAAbodyChar"/>
    <w:link w:val="MTDisplayEquation"/>
    <w:rsid w:val="00485F20"/>
    <w:rPr>
      <w:rFonts w:ascii="Arial" w:eastAsia="Arial" w:hAnsi="Arial" w:cs="Arial"/>
      <w:color w:val="000000"/>
      <w:sz w:val="20"/>
    </w:rPr>
  </w:style>
  <w:style w:type="paragraph" w:customStyle="1" w:styleId="NormalBullet">
    <w:name w:val="Normal Bullet"/>
    <w:basedOn w:val="Normal"/>
    <w:rsid w:val="00FC66B2"/>
    <w:pPr>
      <w:numPr>
        <w:numId w:val="5"/>
      </w:numPr>
      <w:tabs>
        <w:tab w:val="left" w:pos="397"/>
      </w:tabs>
      <w:spacing w:before="80" w:after="0" w:line="240" w:lineRule="auto"/>
      <w:ind w:left="397" w:hanging="397"/>
    </w:pPr>
    <w:rPr>
      <w:rFonts w:ascii="Times New Roman" w:eastAsia="Times New Roman" w:hAnsi="Times New Roman" w:cs="Times New Roman"/>
      <w:szCs w:val="24"/>
    </w:rPr>
  </w:style>
  <w:style w:type="paragraph" w:customStyle="1" w:styleId="BodyText1">
    <w:name w:val="Body Text1"/>
    <w:rsid w:val="00FC66B2"/>
    <w:pPr>
      <w:tabs>
        <w:tab w:val="left" w:pos="312"/>
        <w:tab w:val="left" w:pos="482"/>
        <w:tab w:val="left" w:pos="624"/>
      </w:tabs>
      <w:spacing w:before="180" w:after="0" w:line="260" w:lineRule="atLeast"/>
    </w:pPr>
    <w:rPr>
      <w:rFonts w:ascii="Times" w:eastAsia="Times New Roman" w:hAnsi="Times" w:cs="Times New Roman"/>
      <w:color w:val="000000"/>
      <w:szCs w:val="20"/>
      <w:lang w:eastAsia="en-AU"/>
    </w:rPr>
  </w:style>
  <w:style w:type="character" w:customStyle="1" w:styleId="MathematicaFormatTextForm">
    <w:name w:val="MathematicaFormatTextForm"/>
    <w:uiPriority w:val="99"/>
    <w:rsid w:val="0061197D"/>
  </w:style>
  <w:style w:type="paragraph" w:customStyle="1" w:styleId="MathematicaCellText">
    <w:name w:val="MathematicaCellText"/>
    <w:uiPriority w:val="99"/>
    <w:rsid w:val="00537820"/>
    <w:pPr>
      <w:widowControl w:val="0"/>
      <w:autoSpaceDE w:val="0"/>
      <w:autoSpaceDN w:val="0"/>
      <w:adjustRightInd w:val="0"/>
      <w:spacing w:after="0" w:line="240" w:lineRule="auto"/>
    </w:pPr>
    <w:rPr>
      <w:rFonts w:ascii="Arial" w:eastAsia="MS Mincho" w:hAnsi="Arial" w:cs="Arial"/>
      <w:sz w:val="28"/>
      <w:szCs w:val="28"/>
      <w:lang w:val="en-AU" w:eastAsia="en-AU"/>
    </w:rPr>
  </w:style>
  <w:style w:type="character" w:customStyle="1" w:styleId="MathematicaFormatStandardForm">
    <w:name w:val="MathematicaFormatStandardForm"/>
    <w:uiPriority w:val="99"/>
    <w:rsid w:val="00820F1F"/>
    <w:rPr>
      <w:rFonts w:ascii="Courier" w:hAnsi="Courier" w:cs="Courier"/>
    </w:rPr>
  </w:style>
  <w:style w:type="character" w:customStyle="1" w:styleId="normaltextrun">
    <w:name w:val="normaltextrun"/>
    <w:basedOn w:val="DefaultParagraphFont"/>
    <w:rsid w:val="006C0948"/>
  </w:style>
  <w:style w:type="character" w:customStyle="1" w:styleId="eop">
    <w:name w:val="eop"/>
    <w:basedOn w:val="DefaultParagraphFont"/>
    <w:rsid w:val="006C0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perguide.com.au/comparing-super-funds/choosing-a-super-fund"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oneysmart.gov.au/how-super-works/superannuation-calculato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bs.gov.au/AUSSTATS/abs@.nsf/Lookup/6302.0Main+Features1May%202015?OpenDocumen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straliansuper.com/compare-us/our-performanc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1F1539"/>
    <w:rsid w:val="00422668"/>
    <w:rsid w:val="004A729F"/>
    <w:rsid w:val="00667641"/>
    <w:rsid w:val="007F01C9"/>
    <w:rsid w:val="00834D62"/>
    <w:rsid w:val="009325D2"/>
    <w:rsid w:val="00DA5894"/>
    <w:rsid w:val="00E14341"/>
    <w:rsid w:val="00E27BA3"/>
    <w:rsid w:val="00FB5E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schemas.microsoft.com/office/2006/documentManagement/types"/>
    <ds:schemaRef ds:uri="http://purl.org/dc/elements/1.1/"/>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4.xml><?xml version="1.0" encoding="utf-8"?>
<ds:datastoreItem xmlns:ds="http://schemas.openxmlformats.org/officeDocument/2006/customXml" ds:itemID="{3993F23C-A44D-4ACB-A4A9-B6A21FCB4923}"/>
</file>

<file path=docProps/app.xml><?xml version="1.0" encoding="utf-8"?>
<Properties xmlns="http://schemas.openxmlformats.org/officeDocument/2006/extended-properties" xmlns:vt="http://schemas.openxmlformats.org/officeDocument/2006/docPropsVTypes">
  <Template>Normal.dotm</Template>
  <TotalTime>7</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VCE General Mathematics Unit 3</vt:lpstr>
    </vt:vector>
  </TitlesOfParts>
  <Company>Victorian Curriculum and Assessment Authority</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General Mathematics Unit 3</dc:title>
  <dc:subject>VCE Mathematical Methods</dc:subject>
  <dc:creator>vcaa@education.vic.gov.au</dc:creator>
  <cp:keywords>general, mathematics, VCE, sample, modelling, problem-solving, task, superannuation, Unit 3, AoS2 2</cp:keywords>
  <cp:lastModifiedBy>Julie Coleman</cp:lastModifiedBy>
  <cp:revision>3</cp:revision>
  <cp:lastPrinted>2015-05-15T02:36:00Z</cp:lastPrinted>
  <dcterms:created xsi:type="dcterms:W3CDTF">2022-12-21T01:32:00Z</dcterms:created>
  <dcterms:modified xsi:type="dcterms:W3CDTF">2022-12-21T01:38:00Z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