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B6E6A2C" w:rsidR="00F4525C" w:rsidRDefault="00C904AB" w:rsidP="00B0611A">
      <w:pPr>
        <w:pStyle w:val="VCAADocumenttitle"/>
      </w:pPr>
      <w:r>
        <w:t>VCE Mathematic</w:t>
      </w:r>
      <w:r w:rsidR="0041382E">
        <w:t>al Methods</w:t>
      </w:r>
      <w:r>
        <w:t xml:space="preserve"> Unit</w:t>
      </w:r>
      <w:r w:rsidR="00B0611A">
        <w:t xml:space="preserve"> 1</w:t>
      </w:r>
    </w:p>
    <w:p w14:paraId="74E62D52" w14:textId="339DEB1B" w:rsidR="00243F0D" w:rsidRPr="00DE777F" w:rsidRDefault="00B0611A" w:rsidP="00DB50B3">
      <w:pPr>
        <w:pStyle w:val="VCAAHeading1"/>
        <w:spacing w:before="120"/>
      </w:pPr>
      <w:bookmarkStart w:id="0" w:name="TemplateOverview"/>
      <w:bookmarkEnd w:id="0"/>
      <w:r>
        <w:t xml:space="preserve">Unit 1 </w:t>
      </w:r>
      <w:r w:rsidR="00962404" w:rsidRPr="00DE777F">
        <w:t>Area of Study</w:t>
      </w:r>
      <w:r w:rsidR="0077468E" w:rsidRPr="00DE777F">
        <w:t xml:space="preserve"> 1</w:t>
      </w:r>
      <w:r w:rsidR="00DE777F" w:rsidRPr="00DE777F">
        <w:t xml:space="preserve">: </w:t>
      </w:r>
      <w:r>
        <w:t>Calculus</w:t>
      </w:r>
    </w:p>
    <w:p w14:paraId="5A798B74" w14:textId="376A3B6D" w:rsidR="00962404" w:rsidRPr="00DE777F" w:rsidRDefault="00962404" w:rsidP="00B0611A">
      <w:pPr>
        <w:pStyle w:val="VCAAHeading2"/>
        <w:spacing w:before="360"/>
      </w:pPr>
      <w:r w:rsidRPr="00DE777F">
        <w:t xml:space="preserve">Example of learning activity: </w:t>
      </w:r>
      <w:r w:rsidR="00B0611A">
        <w:rPr>
          <w:lang w:val="en-AU"/>
        </w:rPr>
        <w:t>F</w:t>
      </w:r>
      <w:r w:rsidR="00B0611A" w:rsidRPr="00C208E6">
        <w:rPr>
          <w:lang w:val="en-AU"/>
        </w:rPr>
        <w:t>illing vases with water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79990410" w14:textId="77777777" w:rsidR="00C65E5B" w:rsidRDefault="00C65E5B" w:rsidP="00C65E5B">
      <w:pPr>
        <w:pStyle w:val="VCAAbody"/>
      </w:pPr>
      <w:r>
        <w:t>There are many different shaped vases. If a vase is filled by pouring in water at a constant rate, the depth of water in the vase will be a function of how long the water has been pouring in from empty, and the shape of the vase.</w:t>
      </w:r>
    </w:p>
    <w:p w14:paraId="7E3DC99A" w14:textId="77777777" w:rsidR="00C65E5B" w:rsidRDefault="00C65E5B" w:rsidP="00C65E5B">
      <w:pPr>
        <w:pStyle w:val="VCAAbody"/>
      </w:pPr>
      <w:r>
        <w:t>Assuming that a vase has rotational symmetry about its central axis, its shape can be represented by a planar cross-section that contains this axis.</w:t>
      </w:r>
    </w:p>
    <w:p w14:paraId="236C1973" w14:textId="77777777" w:rsidR="00C65E5B" w:rsidRDefault="00C65E5B" w:rsidP="00C65E5B">
      <w:pPr>
        <w:pStyle w:val="VCAAbody"/>
      </w:pPr>
      <w:r w:rsidRPr="008E3D93">
        <w:t xml:space="preserve">This </w:t>
      </w:r>
      <w:r>
        <w:t>task</w:t>
      </w:r>
      <w:r w:rsidRPr="008E3D93">
        <w:t xml:space="preserve"> </w:t>
      </w:r>
      <w:r>
        <w:t>has two parts and involves qualitative analysis to tackle two problems and explain reasoning:</w:t>
      </w:r>
    </w:p>
    <w:p w14:paraId="0519180A" w14:textId="77777777" w:rsidR="00C65E5B" w:rsidRDefault="00C65E5B" w:rsidP="00C65E5B">
      <w:pPr>
        <w:pStyle w:val="VCAAnumbers"/>
        <w:tabs>
          <w:tab w:val="left" w:pos="425"/>
        </w:tabs>
        <w:spacing w:before="120" w:after="120" w:line="280" w:lineRule="exact"/>
        <w:contextualSpacing/>
      </w:pPr>
      <w:r>
        <w:t xml:space="preserve">Given the cross-section of a vase, what do the graphs of the depth of water in the vase as a function of time, and the </w:t>
      </w:r>
      <w:r w:rsidRPr="00793A07">
        <w:rPr>
          <w:color w:val="auto"/>
        </w:rPr>
        <w:t>corresponding graph</w:t>
      </w:r>
      <w:r>
        <w:t xml:space="preserve"> of the rate of change of the depth of water in the vase as a function of time look like?</w:t>
      </w:r>
    </w:p>
    <w:p w14:paraId="2EBBE125" w14:textId="77777777" w:rsidR="00C65E5B" w:rsidRPr="00395F9E" w:rsidRDefault="00C65E5B" w:rsidP="00C65E5B">
      <w:pPr>
        <w:pStyle w:val="VCAAnumbers"/>
        <w:tabs>
          <w:tab w:val="left" w:pos="425"/>
        </w:tabs>
        <w:spacing w:before="120" w:after="120" w:line="280" w:lineRule="exact"/>
        <w:contextualSpacing/>
      </w:pPr>
      <w:r>
        <w:t>Given a graph of the depth of water in the vase as a function of time, and the graph of the rate of change of the depth of water in the vase as a function of time, what is the shape of the vase?</w:t>
      </w:r>
    </w:p>
    <w:p w14:paraId="78B9140A" w14:textId="77777777" w:rsidR="00C65E5B" w:rsidRDefault="00C65E5B" w:rsidP="00C65E5B">
      <w:pPr>
        <w:pStyle w:val="VCAAbody"/>
      </w:pPr>
      <w:r>
        <w:t>Note that both functions will be strictly increasing functions as water is being poured in at a constant rate and the vases have a finite volume.</w:t>
      </w:r>
    </w:p>
    <w:p w14:paraId="6F42CE66" w14:textId="77777777" w:rsidR="00C65E5B" w:rsidRPr="008E3D93" w:rsidRDefault="00C65E5B" w:rsidP="00C65E5B">
      <w:pPr>
        <w:pStyle w:val="VCAAHeading4"/>
      </w:pPr>
      <w:r w:rsidRPr="008E3D93">
        <w:t>Part 1</w:t>
      </w:r>
    </w:p>
    <w:p w14:paraId="70F5082D" w14:textId="77777777" w:rsidR="00C65E5B" w:rsidRPr="0015630B" w:rsidRDefault="00C65E5B" w:rsidP="00C65E5B">
      <w:pPr>
        <w:pStyle w:val="VCAAbody"/>
      </w:pPr>
      <w:r w:rsidRPr="0015630B">
        <w:t>Consider a collection of different shaped vases by means of their cross</w:t>
      </w:r>
      <w:r>
        <w:t>-</w:t>
      </w:r>
      <w:r w:rsidRPr="0015630B">
        <w:t xml:space="preserve">section and construct </w:t>
      </w:r>
      <w:r>
        <w:t xml:space="preserve">a </w:t>
      </w:r>
      <w:r w:rsidRPr="0015630B">
        <w:t xml:space="preserve">corresponding depth-time </w:t>
      </w:r>
      <w:r>
        <w:t xml:space="preserve">graph </w:t>
      </w:r>
      <w:r w:rsidRPr="0015630B">
        <w:t>and rate of change in depth-time graph.</w:t>
      </w:r>
    </w:p>
    <w:p w14:paraId="0347A08F" w14:textId="77777777" w:rsidR="00C65E5B" w:rsidRPr="00851E5B" w:rsidRDefault="00C65E5B" w:rsidP="00C65E5B">
      <w:pPr>
        <w:pStyle w:val="VCAAbody"/>
        <w:rPr>
          <w:rStyle w:val="eop"/>
          <w:shd w:val="clear" w:color="auto" w:fill="FFFFFF"/>
        </w:rPr>
      </w:pPr>
      <w:r w:rsidRPr="0015630B">
        <w:t xml:space="preserve">There are a number of </w:t>
      </w:r>
      <w:hyperlink r:id="rId11" w:history="1">
        <w:r w:rsidRPr="00851E5B">
          <w:rPr>
            <w:rStyle w:val="Hyperlink"/>
          </w:rPr>
          <w:t>related interac</w:t>
        </w:r>
        <w:r w:rsidRPr="00851E5B">
          <w:rPr>
            <w:rStyle w:val="Hyperlink"/>
          </w:rPr>
          <w:t>t</w:t>
        </w:r>
        <w:r w:rsidRPr="00851E5B">
          <w:rPr>
            <w:rStyle w:val="Hyperlink"/>
          </w:rPr>
          <w:t>ive</w:t>
        </w:r>
        <w:r>
          <w:rPr>
            <w:rStyle w:val="Hyperlink"/>
          </w:rPr>
          <w:t xml:space="preserve"> demonstration</w:t>
        </w:r>
        <w:r w:rsidRPr="00851E5B">
          <w:rPr>
            <w:rStyle w:val="Hyperlink"/>
          </w:rPr>
          <w:t>s</w:t>
        </w:r>
      </w:hyperlink>
      <w:r w:rsidRPr="0015630B">
        <w:t xml:space="preserve"> available online</w:t>
      </w:r>
      <w:r>
        <w:t>.</w:t>
      </w:r>
    </w:p>
    <w:p w14:paraId="6DE74B50" w14:textId="77777777" w:rsidR="00C65E5B" w:rsidRPr="0015630B" w:rsidRDefault="00C65E5B" w:rsidP="00C65E5B">
      <w:pPr>
        <w:pStyle w:val="VCAAbody"/>
      </w:pPr>
      <w:r w:rsidRPr="00851E5B">
        <w:rPr>
          <w:rStyle w:val="eop"/>
          <w:shd w:val="clear" w:color="auto" w:fill="FFFFFF"/>
        </w:rPr>
        <w:t>Students could be asked to draw an estimate of the rate of change in depth-time graph before each of the animations are shown.</w:t>
      </w:r>
    </w:p>
    <w:p w14:paraId="5D413333" w14:textId="77777777" w:rsidR="00C65E5B" w:rsidRPr="008E3D93" w:rsidRDefault="00C65E5B" w:rsidP="00C65E5B">
      <w:pPr>
        <w:pStyle w:val="VCAAHeading4"/>
      </w:pPr>
      <w:r>
        <w:t>Part 2</w:t>
      </w:r>
    </w:p>
    <w:p w14:paraId="2956151A" w14:textId="77777777" w:rsidR="00C65E5B" w:rsidRPr="0015630B" w:rsidRDefault="00C65E5B" w:rsidP="00C65E5B">
      <w:pPr>
        <w:pStyle w:val="VCAAbody"/>
      </w:pPr>
      <w:r w:rsidRPr="0015630B">
        <w:t xml:space="preserve">Consider a collection of different depth-time </w:t>
      </w:r>
      <w:r>
        <w:t xml:space="preserve">graphs </w:t>
      </w:r>
      <w:r w:rsidRPr="0015630B">
        <w:t>and rate of change in depth-time graphs and construct corresponding cross</w:t>
      </w:r>
      <w:r>
        <w:t>-</w:t>
      </w:r>
      <w:r w:rsidRPr="0015630B">
        <w:t>sections for vases.</w:t>
      </w:r>
    </w:p>
    <w:p w14:paraId="66745DA9" w14:textId="77777777" w:rsidR="00C65E5B" w:rsidRPr="0015630B" w:rsidRDefault="00C65E5B" w:rsidP="00C65E5B">
      <w:pPr>
        <w:pStyle w:val="VCAAbody"/>
      </w:pPr>
      <w:r w:rsidRPr="0015630B">
        <w:t xml:space="preserve">There are various images of rate of change in </w:t>
      </w:r>
      <w:hyperlink r:id="rId12" w:history="1">
        <w:r w:rsidRPr="00851E5B">
          <w:rPr>
            <w:rStyle w:val="Hyperlink"/>
          </w:rPr>
          <w:t>de</w:t>
        </w:r>
        <w:r w:rsidRPr="00851E5B">
          <w:rPr>
            <w:rStyle w:val="Hyperlink"/>
          </w:rPr>
          <w:t>p</w:t>
        </w:r>
        <w:r w:rsidRPr="00851E5B">
          <w:rPr>
            <w:rStyle w:val="Hyperlink"/>
          </w:rPr>
          <w:t>th-time graphs</w:t>
        </w:r>
      </w:hyperlink>
      <w:r w:rsidRPr="0015630B">
        <w:t xml:space="preserve"> available on</w:t>
      </w:r>
      <w:r>
        <w:t>line.</w:t>
      </w:r>
      <w:r w:rsidRPr="0015630B">
        <w:t xml:space="preserve"> </w:t>
      </w:r>
    </w:p>
    <w:p w14:paraId="193A06B8" w14:textId="66EAF322" w:rsidR="00C65E5B" w:rsidRDefault="00C65E5B" w:rsidP="00C65E5B">
      <w:pPr>
        <w:pStyle w:val="VCAAbody"/>
        <w:rPr>
          <w:b/>
        </w:rPr>
      </w:pPr>
      <w:r w:rsidRPr="002B1EA6">
        <w:t>Students could be asked to draw an approximation of the shape of the container before its revealed.</w:t>
      </w:r>
      <w:r w:rsidRPr="00851E5B">
        <w:rPr>
          <w:b/>
        </w:rPr>
        <w:t xml:space="preserve"> </w:t>
      </w:r>
    </w:p>
    <w:p w14:paraId="5E7E4494" w14:textId="77777777" w:rsidR="00C65E5B" w:rsidRDefault="00C65E5B">
      <w:pPr>
        <w:rPr>
          <w:rFonts w:ascii="Arial" w:hAnsi="Arial" w:cs="Arial"/>
          <w:b/>
          <w:color w:val="000000" w:themeColor="text1"/>
          <w:sz w:val="20"/>
        </w:rPr>
      </w:pPr>
      <w:r>
        <w:rPr>
          <w:b/>
        </w:rPr>
        <w:br w:type="page"/>
      </w:r>
    </w:p>
    <w:p w14:paraId="16682DEF" w14:textId="77777777" w:rsidR="00C65E5B" w:rsidRDefault="00C65E5B" w:rsidP="00C65E5B">
      <w:pPr>
        <w:pStyle w:val="VCAAHeading3"/>
      </w:pPr>
      <w:r>
        <w:lastRenderedPageBreak/>
        <w:t>Areas of study</w:t>
      </w:r>
    </w:p>
    <w:p w14:paraId="35B6D762" w14:textId="2E5AD781" w:rsidR="00C65E5B" w:rsidRDefault="00C65E5B" w:rsidP="00C65E5B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C65E5B" w:rsidRPr="00485F20" w14:paraId="53734851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62E056EA" w14:textId="5BCFCE50" w:rsidR="00C65E5B" w:rsidRPr="00485F20" w:rsidRDefault="00C65E5B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1</w:t>
            </w:r>
          </w:p>
        </w:tc>
      </w:tr>
      <w:tr w:rsidR="00C65E5B" w:rsidRPr="00485F20" w14:paraId="2F652500" w14:textId="77777777" w:rsidTr="00F06AD1">
        <w:tc>
          <w:tcPr>
            <w:tcW w:w="4463" w:type="dxa"/>
            <w:shd w:val="clear" w:color="auto" w:fill="auto"/>
          </w:tcPr>
          <w:p w14:paraId="08AA2831" w14:textId="77777777" w:rsidR="00C65E5B" w:rsidRPr="00485F20" w:rsidRDefault="00C65E5B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02D48E56" w14:textId="4E2AB9CA" w:rsidR="00C65E5B" w:rsidRPr="00485F20" w:rsidRDefault="00C65E5B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</w:p>
        </w:tc>
      </w:tr>
      <w:tr w:rsidR="00C65E5B" w14:paraId="797D0E9A" w14:textId="77777777" w:rsidTr="00F06AD1">
        <w:tc>
          <w:tcPr>
            <w:tcW w:w="4463" w:type="dxa"/>
          </w:tcPr>
          <w:p w14:paraId="56494DD6" w14:textId="4F99C34E" w:rsidR="00C65E5B" w:rsidRDefault="00C65E5B" w:rsidP="00C65E5B">
            <w:pPr>
              <w:pStyle w:val="VCAAtablecondensed"/>
            </w:pPr>
            <w:r w:rsidRPr="00B30B86">
              <w:t>Functions</w:t>
            </w:r>
            <w:r>
              <w:t>, relations</w:t>
            </w:r>
            <w:r w:rsidRPr="00B30B86">
              <w:t xml:space="preserve"> and graphs</w:t>
            </w:r>
          </w:p>
        </w:tc>
        <w:tc>
          <w:tcPr>
            <w:tcW w:w="4463" w:type="dxa"/>
          </w:tcPr>
          <w:p w14:paraId="553BFD9B" w14:textId="17678154" w:rsidR="00C65E5B" w:rsidRDefault="00C65E5B" w:rsidP="00C65E5B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C65E5B" w14:paraId="4A2DBC75" w14:textId="77777777" w:rsidTr="00F06AD1">
        <w:tc>
          <w:tcPr>
            <w:tcW w:w="4463" w:type="dxa"/>
          </w:tcPr>
          <w:p w14:paraId="4DA62E58" w14:textId="3CE219A5" w:rsidR="00C65E5B" w:rsidRDefault="00C65E5B" w:rsidP="00C65E5B">
            <w:pPr>
              <w:pStyle w:val="VCAAtablecondensed"/>
              <w:rPr>
                <w:lang w:val="en-AU"/>
              </w:rPr>
            </w:pPr>
            <w:r w:rsidRPr="00B30B86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7B4CBE4E" w14:textId="6CE2CF39" w:rsidR="00C65E5B" w:rsidRDefault="00C65E5B" w:rsidP="00C65E5B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C65E5B" w14:paraId="4C853018" w14:textId="77777777" w:rsidTr="00F06AD1">
        <w:tc>
          <w:tcPr>
            <w:tcW w:w="4463" w:type="dxa"/>
          </w:tcPr>
          <w:p w14:paraId="57A3B3BD" w14:textId="03024C74" w:rsidR="00C65E5B" w:rsidRDefault="00C65E5B" w:rsidP="00C65E5B">
            <w:pPr>
              <w:pStyle w:val="VCAAtablecondensed"/>
              <w:rPr>
                <w:lang w:val="en-AU"/>
              </w:rPr>
            </w:pPr>
            <w:r w:rsidRPr="00B30B86">
              <w:t>Calculus</w:t>
            </w:r>
          </w:p>
        </w:tc>
        <w:tc>
          <w:tcPr>
            <w:tcW w:w="4463" w:type="dxa"/>
          </w:tcPr>
          <w:p w14:paraId="3E332E54" w14:textId="2CDDC5CF" w:rsidR="00C65E5B" w:rsidRDefault="00C65E5B" w:rsidP="00C65E5B">
            <w:pPr>
              <w:pStyle w:val="VCAAtablecondensed"/>
              <w:rPr>
                <w:lang w:val="en-AU"/>
              </w:rPr>
            </w:pPr>
            <w:r w:rsidRPr="00B30B86">
              <w:t>2</w:t>
            </w:r>
          </w:p>
        </w:tc>
      </w:tr>
      <w:tr w:rsidR="00C65E5B" w14:paraId="687FCDBC" w14:textId="77777777" w:rsidTr="00F06AD1">
        <w:tc>
          <w:tcPr>
            <w:tcW w:w="4463" w:type="dxa"/>
          </w:tcPr>
          <w:p w14:paraId="2C92F1EB" w14:textId="6C74E7A8" w:rsidR="00C65E5B" w:rsidRDefault="00C65E5B" w:rsidP="00C65E5B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1C579F1D" w14:textId="6EDA4B70" w:rsidR="00C65E5B" w:rsidRDefault="00C65E5B" w:rsidP="00C65E5B">
            <w:pPr>
              <w:pStyle w:val="VCAAtablecondensed"/>
            </w:pPr>
            <w:r>
              <w:t>–</w:t>
            </w:r>
          </w:p>
        </w:tc>
      </w:tr>
    </w:tbl>
    <w:p w14:paraId="77B29481" w14:textId="77777777" w:rsidR="00C65E5B" w:rsidRDefault="00C65E5B" w:rsidP="00C65E5B">
      <w:pPr>
        <w:pStyle w:val="VCAAHeading3"/>
      </w:pPr>
      <w:r>
        <w:t>Outcomes</w:t>
      </w:r>
    </w:p>
    <w:p w14:paraId="18F7FF85" w14:textId="56CA1C14" w:rsidR="00C65E5B" w:rsidRDefault="00C65E5B" w:rsidP="00C65E5B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C65E5B" w:rsidRPr="00FA2380" w14:paraId="0307C0AE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11624BEF" w14:textId="07369C2E" w:rsidR="00C65E5B" w:rsidRPr="00FA2380" w:rsidRDefault="00C65E5B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</w:t>
            </w:r>
            <w:r>
              <w:rPr>
                <w:b/>
                <w:lang w:val="en-AU"/>
              </w:rPr>
              <w:t xml:space="preserve"> 1</w:t>
            </w:r>
          </w:p>
        </w:tc>
      </w:tr>
      <w:tr w:rsidR="00C65E5B" w:rsidRPr="00FA2380" w14:paraId="1CD3C1F2" w14:textId="77777777" w:rsidTr="00F06AD1">
        <w:tc>
          <w:tcPr>
            <w:tcW w:w="2975" w:type="dxa"/>
            <w:shd w:val="clear" w:color="auto" w:fill="auto"/>
          </w:tcPr>
          <w:p w14:paraId="5B77972B" w14:textId="77777777" w:rsidR="00C65E5B" w:rsidRPr="00E850AC" w:rsidRDefault="00C65E5B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15EF432A" w14:textId="77777777" w:rsidR="00C65E5B" w:rsidRPr="00E850AC" w:rsidRDefault="00C65E5B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(s)</w:t>
            </w:r>
          </w:p>
        </w:tc>
        <w:tc>
          <w:tcPr>
            <w:tcW w:w="2976" w:type="dxa"/>
            <w:shd w:val="clear" w:color="auto" w:fill="auto"/>
          </w:tcPr>
          <w:p w14:paraId="16F05403" w14:textId="36D1EE00" w:rsidR="00C65E5B" w:rsidRPr="00E850AC" w:rsidRDefault="00C65E5B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</w:t>
            </w:r>
            <w:r>
              <w:rPr>
                <w:b/>
                <w:color w:val="auto"/>
                <w:lang w:val="en-AU"/>
              </w:rPr>
              <w:t>(</w:t>
            </w:r>
            <w:r>
              <w:rPr>
                <w:b/>
                <w:color w:val="auto"/>
                <w:lang w:val="en-AU"/>
              </w:rPr>
              <w:t>s</w:t>
            </w:r>
            <w:r>
              <w:rPr>
                <w:b/>
                <w:color w:val="auto"/>
                <w:lang w:val="en-AU"/>
              </w:rPr>
              <w:t>)</w:t>
            </w:r>
          </w:p>
        </w:tc>
      </w:tr>
      <w:tr w:rsidR="00C65E5B" w14:paraId="19697836" w14:textId="77777777" w:rsidTr="00F06AD1">
        <w:tc>
          <w:tcPr>
            <w:tcW w:w="2975" w:type="dxa"/>
          </w:tcPr>
          <w:p w14:paraId="02C42601" w14:textId="43986943" w:rsidR="00C65E5B" w:rsidRPr="000E2B81" w:rsidRDefault="00C65E5B" w:rsidP="00C65E5B">
            <w:pPr>
              <w:pStyle w:val="VCAAtablecondensed"/>
              <w:rPr>
                <w:bCs/>
              </w:rPr>
            </w:pPr>
            <w:r w:rsidRPr="00B30B86">
              <w:t>1</w:t>
            </w:r>
          </w:p>
        </w:tc>
        <w:tc>
          <w:tcPr>
            <w:tcW w:w="2975" w:type="dxa"/>
          </w:tcPr>
          <w:p w14:paraId="39F2939C" w14:textId="4532D4FD" w:rsidR="00C65E5B" w:rsidRDefault="00C65E5B" w:rsidP="00C65E5B">
            <w:pPr>
              <w:pStyle w:val="VCAAtablecondensed"/>
            </w:pPr>
            <w:r>
              <w:t>1, 8</w:t>
            </w:r>
          </w:p>
        </w:tc>
        <w:tc>
          <w:tcPr>
            <w:tcW w:w="2976" w:type="dxa"/>
          </w:tcPr>
          <w:p w14:paraId="2A1597B3" w14:textId="0E74515B" w:rsidR="00C65E5B" w:rsidRDefault="00C65E5B" w:rsidP="00C65E5B">
            <w:pPr>
              <w:pStyle w:val="VCAAtablecondensed"/>
            </w:pPr>
            <w:r w:rsidRPr="00B30B86">
              <w:t>15</w:t>
            </w:r>
          </w:p>
        </w:tc>
      </w:tr>
      <w:tr w:rsidR="00C65E5B" w14:paraId="2696B8D2" w14:textId="77777777" w:rsidTr="00F06AD1">
        <w:tc>
          <w:tcPr>
            <w:tcW w:w="2975" w:type="dxa"/>
          </w:tcPr>
          <w:p w14:paraId="7E355C59" w14:textId="037D7D1F" w:rsidR="00C65E5B" w:rsidRPr="000E2B81" w:rsidRDefault="00C65E5B" w:rsidP="00C65E5B">
            <w:pPr>
              <w:pStyle w:val="VCAAtablecondensed"/>
              <w:rPr>
                <w:bCs/>
              </w:rPr>
            </w:pPr>
            <w:r w:rsidRPr="00B30B86">
              <w:t>2</w:t>
            </w:r>
          </w:p>
        </w:tc>
        <w:tc>
          <w:tcPr>
            <w:tcW w:w="2975" w:type="dxa"/>
          </w:tcPr>
          <w:p w14:paraId="6024AD07" w14:textId="268D6168" w:rsidR="00C65E5B" w:rsidRDefault="00C65E5B" w:rsidP="00C65E5B">
            <w:pPr>
              <w:pStyle w:val="VCAAtablecondensed"/>
            </w:pPr>
            <w:r w:rsidRPr="00B30B86">
              <w:t xml:space="preserve">1, </w:t>
            </w:r>
            <w:r>
              <w:t>5</w:t>
            </w:r>
          </w:p>
        </w:tc>
        <w:tc>
          <w:tcPr>
            <w:tcW w:w="2976" w:type="dxa"/>
          </w:tcPr>
          <w:p w14:paraId="7A0ED88E" w14:textId="2F6F0865" w:rsidR="00C65E5B" w:rsidRDefault="00C65E5B" w:rsidP="00C65E5B">
            <w:pPr>
              <w:pStyle w:val="VCAAtablecondensed"/>
            </w:pPr>
            <w:r>
              <w:t>5, 6</w:t>
            </w:r>
          </w:p>
        </w:tc>
      </w:tr>
      <w:tr w:rsidR="00C65E5B" w14:paraId="35014B71" w14:textId="77777777" w:rsidTr="00F06AD1">
        <w:tc>
          <w:tcPr>
            <w:tcW w:w="2975" w:type="dxa"/>
          </w:tcPr>
          <w:p w14:paraId="7F3D263A" w14:textId="469BB730" w:rsidR="00C65E5B" w:rsidRPr="000E2B81" w:rsidRDefault="00C65E5B" w:rsidP="00C65E5B">
            <w:pPr>
              <w:pStyle w:val="VCAAtablecondensed"/>
              <w:rPr>
                <w:bCs/>
              </w:rPr>
            </w:pPr>
            <w:r w:rsidRPr="00B30B86">
              <w:t>3</w:t>
            </w:r>
          </w:p>
        </w:tc>
        <w:tc>
          <w:tcPr>
            <w:tcW w:w="2975" w:type="dxa"/>
          </w:tcPr>
          <w:p w14:paraId="67F08C62" w14:textId="5A1466D3" w:rsidR="00C65E5B" w:rsidRDefault="00C65E5B" w:rsidP="00C65E5B">
            <w:pPr>
              <w:pStyle w:val="VCAAtablecondensed"/>
            </w:pPr>
            <w:r w:rsidRPr="00B30B86">
              <w:t>3</w:t>
            </w:r>
          </w:p>
        </w:tc>
        <w:tc>
          <w:tcPr>
            <w:tcW w:w="2976" w:type="dxa"/>
          </w:tcPr>
          <w:p w14:paraId="12467B9F" w14:textId="7BE72DB6" w:rsidR="00C65E5B" w:rsidRDefault="00C65E5B" w:rsidP="00C65E5B">
            <w:pPr>
              <w:pStyle w:val="VCAAtablecondensed"/>
            </w:pPr>
            <w:r>
              <w:t xml:space="preserve"> 6</w:t>
            </w:r>
          </w:p>
        </w:tc>
      </w:tr>
    </w:tbl>
    <w:p w14:paraId="22A40A94" w14:textId="0A36850B" w:rsidR="00C65E5B" w:rsidRDefault="00C65E5B" w:rsidP="00C65E5B">
      <w:pPr>
        <w:pStyle w:val="VCAAbody"/>
      </w:pPr>
    </w:p>
    <w:sectPr w:rsidR="00C65E5B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FA10BFF" w:rsidR="00FD29D3" w:rsidRPr="00D86DE4" w:rsidRDefault="00C65E5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48C4">
          <w:rPr>
            <w:color w:val="999999" w:themeColor="accent2"/>
          </w:rPr>
          <w:t>VCE Mathematical Methods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C5"/>
    <w:multiLevelType w:val="hybridMultilevel"/>
    <w:tmpl w:val="EB18988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24C5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D0D74"/>
    <w:multiLevelType w:val="hybridMultilevel"/>
    <w:tmpl w:val="77A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4599"/>
    <w:multiLevelType w:val="hybridMultilevel"/>
    <w:tmpl w:val="7A74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A3B9F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070A5"/>
    <w:multiLevelType w:val="hybridMultilevel"/>
    <w:tmpl w:val="1276A8C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F7E2C"/>
    <w:multiLevelType w:val="hybridMultilevel"/>
    <w:tmpl w:val="658658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7885"/>
    <w:multiLevelType w:val="hybridMultilevel"/>
    <w:tmpl w:val="C5FCED9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6" w15:restartNumberingAfterBreak="0">
    <w:nsid w:val="63421CAE"/>
    <w:multiLevelType w:val="hybridMultilevel"/>
    <w:tmpl w:val="1158AB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8438C"/>
    <w:multiLevelType w:val="hybridMultilevel"/>
    <w:tmpl w:val="1158AB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055A1"/>
    <w:multiLevelType w:val="hybridMultilevel"/>
    <w:tmpl w:val="AD64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9"/>
  </w:num>
  <w:num w:numId="4">
    <w:abstractNumId w:val="33"/>
  </w:num>
  <w:num w:numId="5">
    <w:abstractNumId w:val="44"/>
  </w:num>
  <w:num w:numId="6">
    <w:abstractNumId w:val="4"/>
  </w:num>
  <w:num w:numId="7">
    <w:abstractNumId w:val="30"/>
  </w:num>
  <w:num w:numId="8">
    <w:abstractNumId w:val="21"/>
  </w:num>
  <w:num w:numId="9">
    <w:abstractNumId w:val="34"/>
  </w:num>
  <w:num w:numId="10">
    <w:abstractNumId w:val="12"/>
  </w:num>
  <w:num w:numId="11">
    <w:abstractNumId w:val="25"/>
  </w:num>
  <w:num w:numId="12">
    <w:abstractNumId w:val="32"/>
  </w:num>
  <w:num w:numId="13">
    <w:abstractNumId w:val="18"/>
  </w:num>
  <w:num w:numId="14">
    <w:abstractNumId w:val="22"/>
  </w:num>
  <w:num w:numId="15">
    <w:abstractNumId w:val="23"/>
  </w:num>
  <w:num w:numId="16">
    <w:abstractNumId w:val="16"/>
  </w:num>
  <w:num w:numId="17">
    <w:abstractNumId w:val="28"/>
  </w:num>
  <w:num w:numId="18">
    <w:abstractNumId w:val="43"/>
  </w:num>
  <w:num w:numId="19">
    <w:abstractNumId w:val="5"/>
  </w:num>
  <w:num w:numId="20">
    <w:abstractNumId w:val="24"/>
  </w:num>
  <w:num w:numId="21">
    <w:abstractNumId w:val="39"/>
  </w:num>
  <w:num w:numId="22">
    <w:abstractNumId w:val="41"/>
  </w:num>
  <w:num w:numId="23">
    <w:abstractNumId w:val="45"/>
  </w:num>
  <w:num w:numId="24">
    <w:abstractNumId w:val="1"/>
  </w:num>
  <w:num w:numId="25">
    <w:abstractNumId w:val="15"/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46"/>
  </w:num>
  <w:num w:numId="29">
    <w:abstractNumId w:val="17"/>
  </w:num>
  <w:num w:numId="30">
    <w:abstractNumId w:val="0"/>
  </w:num>
  <w:num w:numId="31">
    <w:abstractNumId w:val="11"/>
  </w:num>
  <w:num w:numId="32">
    <w:abstractNumId w:val="2"/>
  </w:num>
  <w:num w:numId="33">
    <w:abstractNumId w:val="10"/>
  </w:num>
  <w:num w:numId="34">
    <w:abstractNumId w:val="40"/>
  </w:num>
  <w:num w:numId="35">
    <w:abstractNumId w:val="29"/>
  </w:num>
  <w:num w:numId="36">
    <w:abstractNumId w:val="26"/>
  </w:num>
  <w:num w:numId="37">
    <w:abstractNumId w:val="37"/>
  </w:num>
  <w:num w:numId="38">
    <w:abstractNumId w:val="42"/>
  </w:num>
  <w:num w:numId="39">
    <w:abstractNumId w:val="3"/>
  </w:num>
  <w:num w:numId="40">
    <w:abstractNumId w:val="35"/>
  </w:num>
  <w:num w:numId="41">
    <w:abstractNumId w:val="8"/>
  </w:num>
  <w:num w:numId="42">
    <w:abstractNumId w:val="13"/>
  </w:num>
  <w:num w:numId="43">
    <w:abstractNumId w:val="6"/>
  </w:num>
  <w:num w:numId="44">
    <w:abstractNumId w:val="14"/>
  </w:num>
  <w:num w:numId="45">
    <w:abstractNumId w:val="38"/>
  </w:num>
  <w:num w:numId="46">
    <w:abstractNumId w:val="36"/>
  </w:num>
  <w:num w:numId="47">
    <w:abstractNumId w:val="19"/>
  </w:num>
  <w:num w:numId="48">
    <w:abstractNumId w:val="27"/>
  </w:num>
  <w:num w:numId="4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8C4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468E"/>
    <w:rsid w:val="00777727"/>
    <w:rsid w:val="007807F1"/>
    <w:rsid w:val="00781FB1"/>
    <w:rsid w:val="007C4ED7"/>
    <w:rsid w:val="007D1B6D"/>
    <w:rsid w:val="007E7F95"/>
    <w:rsid w:val="00801881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D6BBE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12E5B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B50B3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3170F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sks.illustrativemathematics.org/content-standards/HSF/IF/B/4/tasks/208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ogebra.org/m/S4Yc2fd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DE8B5C9-C042-4065-921A-11D8633BB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Units 3 and 4</vt:lpstr>
    </vt:vector>
  </TitlesOfParts>
  <Company>Victorian Curriculum and Assessment Authority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1</dc:title>
  <dc:subject>VCE Mathematical Methods</dc:subject>
  <dc:creator>vcaa@education.vic.gov.au</dc:creator>
  <cp:keywords>mathematical methods, VCE, filling, vases, water, Unit 1, AoS 3</cp:keywords>
  <cp:lastModifiedBy>Julie Coleman</cp:lastModifiedBy>
  <cp:revision>4</cp:revision>
  <cp:lastPrinted>2015-05-15T02:36:00Z</cp:lastPrinted>
  <dcterms:created xsi:type="dcterms:W3CDTF">2022-12-21T00:01:00Z</dcterms:created>
  <dcterms:modified xsi:type="dcterms:W3CDTF">2022-12-21T00:05:00Z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