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74435E6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Unit </w:t>
      </w:r>
      <w:r w:rsidR="0061197D">
        <w:t>1</w:t>
      </w:r>
    </w:p>
    <w:p w14:paraId="74E62D52" w14:textId="2B3B2FD6" w:rsidR="00243F0D" w:rsidRPr="0061197D" w:rsidRDefault="0061197D" w:rsidP="0061197D">
      <w:pPr>
        <w:pStyle w:val="VCAAHeading2"/>
      </w:pPr>
      <w:bookmarkStart w:id="0" w:name="TemplateOverview"/>
      <w:bookmarkEnd w:id="0"/>
      <w:r w:rsidRPr="0061197D">
        <w:t xml:space="preserve">Sample context for assessment: </w:t>
      </w:r>
      <w:r w:rsidR="00006E59">
        <w:rPr>
          <w:lang w:val="en-AU"/>
        </w:rPr>
        <w:t>S</w:t>
      </w:r>
      <w:r w:rsidR="00006E59" w:rsidRPr="00EF2A07">
        <w:rPr>
          <w:lang w:val="en-AU"/>
        </w:rPr>
        <w:t>caling human measures</w:t>
      </w:r>
    </w:p>
    <w:p w14:paraId="10153BC0" w14:textId="77777777" w:rsidR="002B4C4E" w:rsidRPr="0084646A" w:rsidRDefault="002B4C4E" w:rsidP="002B4C4E">
      <w:pPr>
        <w:pStyle w:val="VCAAHeading3"/>
      </w:pPr>
      <w:r w:rsidRPr="0084646A">
        <w:t>Introduction</w:t>
      </w:r>
    </w:p>
    <w:p w14:paraId="084C5A5A" w14:textId="77777777" w:rsidR="00E850AC" w:rsidRPr="00EF2A07" w:rsidRDefault="00E850AC" w:rsidP="00E850AC">
      <w:pPr>
        <w:pStyle w:val="VCAAbody"/>
        <w:rPr>
          <w:b/>
          <w:sz w:val="24"/>
          <w:szCs w:val="24"/>
          <w:lang w:val="en-AU"/>
        </w:rPr>
      </w:pPr>
      <w:r w:rsidRPr="00EF2A07">
        <w:rPr>
          <w:lang w:val="en-AU"/>
        </w:rPr>
        <w:t>This task uses a simple model of a human body to explore the effects of scaling linear dimensions on surface area and volume. Related topics in the application of mathematics in biology are allometry, power laws, the square</w:t>
      </w:r>
      <w:r>
        <w:rPr>
          <w:lang w:val="en-AU"/>
        </w:rPr>
        <w:t>–</w:t>
      </w:r>
      <w:r w:rsidRPr="00EF2A07">
        <w:rPr>
          <w:lang w:val="en-AU"/>
        </w:rPr>
        <w:t xml:space="preserve">cube law, isometric scaling, geometric similarity and biomechanics. </w:t>
      </w:r>
    </w:p>
    <w:p w14:paraId="7432D5E1" w14:textId="77777777" w:rsidR="00E850AC" w:rsidRPr="00EF2A07" w:rsidRDefault="00E850AC" w:rsidP="00E850AC">
      <w:pPr>
        <w:pStyle w:val="VCAAHeading4"/>
      </w:pPr>
      <w:r w:rsidRPr="00EF2A07">
        <w:t xml:space="preserve">Part 1 </w:t>
      </w:r>
    </w:p>
    <w:p w14:paraId="5D4418DD" w14:textId="77777777" w:rsidR="00E850AC" w:rsidRPr="00EF2A07" w:rsidRDefault="00E850AC" w:rsidP="00E850AC">
      <w:pPr>
        <w:pStyle w:val="VCAAbody"/>
        <w:rPr>
          <w:b/>
          <w:sz w:val="24"/>
          <w:szCs w:val="24"/>
          <w:lang w:val="en-AU"/>
        </w:rPr>
      </w:pPr>
      <w:r w:rsidRPr="00EF2A07">
        <w:rPr>
          <w:lang w:val="en-AU"/>
        </w:rPr>
        <w:t>Consider a cube:</w:t>
      </w:r>
    </w:p>
    <w:p w14:paraId="187AC781" w14:textId="77777777" w:rsidR="00E850AC" w:rsidRPr="00EF2A07" w:rsidRDefault="00E850AC" w:rsidP="00E850AC">
      <w:pPr>
        <w:pStyle w:val="VCAAnumbers"/>
        <w:tabs>
          <w:tab w:val="left" w:pos="425"/>
        </w:tabs>
        <w:spacing w:before="120" w:after="120" w:line="280" w:lineRule="exact"/>
        <w:contextualSpacing/>
        <w:rPr>
          <w:rFonts w:eastAsia="Calibri"/>
          <w:lang w:val="en-AU"/>
        </w:rPr>
      </w:pPr>
      <w:r w:rsidRPr="00EF2A07">
        <w:rPr>
          <w:rFonts w:eastAsia="Calibri"/>
          <w:lang w:val="en-AU"/>
        </w:rPr>
        <w:t>Plot the graphs of surface area and volume as functions of side length, for side lengths from 0 cm to 100 cm in steps of 10 cm.</w:t>
      </w:r>
    </w:p>
    <w:p w14:paraId="394464F3" w14:textId="77777777" w:rsidR="00E850AC" w:rsidRPr="00EF2A07" w:rsidRDefault="00E850AC" w:rsidP="00E850AC">
      <w:pPr>
        <w:pStyle w:val="VCAAnumbers"/>
        <w:tabs>
          <w:tab w:val="left" w:pos="425"/>
        </w:tabs>
        <w:spacing w:before="120" w:after="120" w:line="280" w:lineRule="exact"/>
        <w:contextualSpacing/>
        <w:rPr>
          <w:rFonts w:eastAsia="Calibri"/>
          <w:lang w:val="en-AU"/>
        </w:rPr>
      </w:pPr>
      <w:r w:rsidRPr="00EF2A07">
        <w:rPr>
          <w:rFonts w:eastAsia="Calibri"/>
          <w:lang w:val="en-AU"/>
        </w:rPr>
        <w:t>Plot the graph of side length as a function of surface area, for surface area from 0 to 6 square metres.</w:t>
      </w:r>
    </w:p>
    <w:p w14:paraId="0FE183E4" w14:textId="77777777" w:rsidR="00E850AC" w:rsidRPr="00EF2A07" w:rsidRDefault="00E850AC" w:rsidP="00E850AC">
      <w:pPr>
        <w:pStyle w:val="VCAAnumbers"/>
        <w:tabs>
          <w:tab w:val="left" w:pos="425"/>
        </w:tabs>
        <w:spacing w:before="120" w:after="120" w:line="280" w:lineRule="exact"/>
        <w:contextualSpacing/>
        <w:rPr>
          <w:rFonts w:eastAsia="Calibri"/>
          <w:lang w:val="en-AU"/>
        </w:rPr>
      </w:pPr>
      <w:r w:rsidRPr="00EF2A07">
        <w:rPr>
          <w:rFonts w:eastAsia="Calibri"/>
          <w:lang w:val="en-AU"/>
        </w:rPr>
        <w:t>Plot the graph of side length as a function of volume, for volume from 0 to 1 cubic metre.</w:t>
      </w:r>
    </w:p>
    <w:p w14:paraId="598D6B7D" w14:textId="77777777" w:rsidR="00E850AC" w:rsidRPr="00EF2A07" w:rsidRDefault="00E850AC" w:rsidP="00E850AC">
      <w:pPr>
        <w:pStyle w:val="VCAAnumbers"/>
        <w:tabs>
          <w:tab w:val="left" w:pos="425"/>
        </w:tabs>
        <w:spacing w:before="120" w:after="120" w:line="280" w:lineRule="exact"/>
        <w:contextualSpacing/>
        <w:rPr>
          <w:rFonts w:eastAsia="Calibri"/>
          <w:lang w:val="en-AU"/>
        </w:rPr>
      </w:pPr>
      <w:r w:rsidRPr="00EF2A07">
        <w:rPr>
          <w:rFonts w:eastAsia="Calibri"/>
          <w:lang w:val="en-AU"/>
        </w:rPr>
        <w:t xml:space="preserve">Provide several examples of calculations </w:t>
      </w:r>
      <w:r>
        <w:rPr>
          <w:rFonts w:eastAsia="Calibri"/>
          <w:lang w:val="en-AU"/>
        </w:rPr>
        <w:t xml:space="preserve">that </w:t>
      </w:r>
      <w:r w:rsidRPr="00EF2A07">
        <w:rPr>
          <w:rFonts w:eastAsia="Calibri"/>
          <w:lang w:val="en-AU"/>
        </w:rPr>
        <w:t>show how to determine a side length that would produce a specified surface area or volume.</w:t>
      </w:r>
    </w:p>
    <w:p w14:paraId="216173F4" w14:textId="77777777" w:rsidR="00E850AC" w:rsidRPr="00EF2A07" w:rsidRDefault="00E850AC" w:rsidP="00E850AC">
      <w:pPr>
        <w:pStyle w:val="VCAAHeading4"/>
      </w:pPr>
      <w:r w:rsidRPr="00EF2A07">
        <w:t>Part 2</w:t>
      </w:r>
    </w:p>
    <w:p w14:paraId="32AA0D71" w14:textId="77777777" w:rsidR="00E850AC" w:rsidRPr="00EF2A07" w:rsidRDefault="00E850AC" w:rsidP="00E850AC">
      <w:pPr>
        <w:pStyle w:val="VCAAbody"/>
        <w:rPr>
          <w:lang w:val="en-AU"/>
        </w:rPr>
      </w:pPr>
      <w:r w:rsidRPr="00EF2A07">
        <w:rPr>
          <w:lang w:val="en-AU"/>
        </w:rPr>
        <w:t>Consider a sphere:</w:t>
      </w:r>
    </w:p>
    <w:p w14:paraId="40D26B90" w14:textId="77777777" w:rsidR="00E850AC" w:rsidRPr="00EF2A07" w:rsidRDefault="00E850AC" w:rsidP="00E850AC">
      <w:pPr>
        <w:pStyle w:val="VCAAnumbers"/>
        <w:numPr>
          <w:ilvl w:val="0"/>
          <w:numId w:val="26"/>
        </w:numPr>
        <w:tabs>
          <w:tab w:val="left" w:pos="425"/>
        </w:tabs>
        <w:spacing w:before="120" w:after="120" w:line="280" w:lineRule="exact"/>
        <w:ind w:left="360"/>
        <w:contextualSpacing/>
        <w:rPr>
          <w:rFonts w:eastAsia="Calibri"/>
          <w:lang w:val="en-AU"/>
        </w:rPr>
      </w:pPr>
      <w:r w:rsidRPr="00EF2A07">
        <w:rPr>
          <w:rFonts w:eastAsia="Calibri"/>
          <w:lang w:val="en-AU"/>
        </w:rPr>
        <w:t>Plot the graphs of surface area and volume as functions of radius, for radiuses from 0 cm to 50 cm in steps of 10 cm.</w:t>
      </w:r>
    </w:p>
    <w:p w14:paraId="6375400A" w14:textId="77777777" w:rsidR="00E850AC" w:rsidRPr="00EF2A07" w:rsidRDefault="00E850AC" w:rsidP="00E850AC">
      <w:pPr>
        <w:pStyle w:val="VCAAnumbers"/>
        <w:numPr>
          <w:ilvl w:val="0"/>
          <w:numId w:val="26"/>
        </w:numPr>
        <w:tabs>
          <w:tab w:val="left" w:pos="425"/>
        </w:tabs>
        <w:spacing w:before="120" w:after="120" w:line="280" w:lineRule="exact"/>
        <w:ind w:left="360"/>
        <w:contextualSpacing/>
        <w:rPr>
          <w:rFonts w:eastAsia="Calibri"/>
          <w:lang w:val="en-AU"/>
        </w:rPr>
      </w:pPr>
      <w:r w:rsidRPr="00EF2A07">
        <w:rPr>
          <w:rFonts w:eastAsia="Calibri"/>
          <w:lang w:val="en-AU"/>
        </w:rPr>
        <w:t>Plot the graph of radius as a function of surface area, for surface area from 0 to 4 square metres.</w:t>
      </w:r>
    </w:p>
    <w:p w14:paraId="24269979" w14:textId="77777777" w:rsidR="00E850AC" w:rsidRPr="00EF2A07" w:rsidRDefault="00E850AC" w:rsidP="00E850AC">
      <w:pPr>
        <w:pStyle w:val="VCAAnumbers"/>
        <w:numPr>
          <w:ilvl w:val="0"/>
          <w:numId w:val="26"/>
        </w:numPr>
        <w:tabs>
          <w:tab w:val="left" w:pos="425"/>
        </w:tabs>
        <w:spacing w:before="120" w:after="120" w:line="280" w:lineRule="exact"/>
        <w:ind w:left="360"/>
        <w:contextualSpacing/>
        <w:rPr>
          <w:rFonts w:eastAsia="Calibri"/>
          <w:lang w:val="en-AU"/>
        </w:rPr>
      </w:pPr>
      <w:r w:rsidRPr="00EF2A07">
        <w:rPr>
          <w:rFonts w:eastAsia="Calibri"/>
          <w:lang w:val="en-AU"/>
        </w:rPr>
        <w:t>Plot the graph of radius as a function of volume, for volume from 0 to 1 cubic metre.</w:t>
      </w:r>
    </w:p>
    <w:p w14:paraId="77DA88A0" w14:textId="77777777" w:rsidR="00E850AC" w:rsidRPr="00EF2A07" w:rsidRDefault="00E850AC" w:rsidP="00E850AC">
      <w:pPr>
        <w:pStyle w:val="VCAAnumbers"/>
        <w:numPr>
          <w:ilvl w:val="0"/>
          <w:numId w:val="26"/>
        </w:numPr>
        <w:tabs>
          <w:tab w:val="left" w:pos="425"/>
        </w:tabs>
        <w:spacing w:before="120" w:after="120" w:line="280" w:lineRule="exact"/>
        <w:ind w:left="360"/>
        <w:contextualSpacing/>
        <w:rPr>
          <w:rFonts w:eastAsia="Calibri"/>
          <w:lang w:val="en-AU"/>
        </w:rPr>
      </w:pPr>
      <w:r w:rsidRPr="00EF2A07">
        <w:rPr>
          <w:rFonts w:eastAsia="Calibri"/>
          <w:lang w:val="en-AU"/>
        </w:rPr>
        <w:t xml:space="preserve">Provide several examples of calculations </w:t>
      </w:r>
      <w:r>
        <w:rPr>
          <w:rFonts w:eastAsia="Calibri"/>
          <w:lang w:val="en-AU"/>
        </w:rPr>
        <w:t>that</w:t>
      </w:r>
      <w:r w:rsidRPr="00EF2A07">
        <w:rPr>
          <w:rFonts w:eastAsia="Calibri"/>
          <w:lang w:val="en-AU"/>
        </w:rPr>
        <w:t xml:space="preserve"> show how to determine a radius that would produce a specified surface area or volume.</w:t>
      </w:r>
    </w:p>
    <w:p w14:paraId="5D8FC309" w14:textId="77777777" w:rsidR="00E850AC" w:rsidRPr="00EF2A07" w:rsidRDefault="00E850AC" w:rsidP="00E850AC">
      <w:pPr>
        <w:pStyle w:val="VCAAHeading4"/>
      </w:pPr>
      <w:r w:rsidRPr="00EF2A07">
        <w:t>Part 3</w:t>
      </w:r>
    </w:p>
    <w:p w14:paraId="6F3A295A" w14:textId="77777777" w:rsidR="00E850AC" w:rsidRPr="00EF2A07" w:rsidRDefault="00E850AC" w:rsidP="00E850AC">
      <w:pPr>
        <w:pStyle w:val="VCAAbody"/>
        <w:rPr>
          <w:lang w:val="en-AU"/>
        </w:rPr>
      </w:pPr>
      <w:r w:rsidRPr="00EF2A07">
        <w:rPr>
          <w:lang w:val="en-AU"/>
        </w:rPr>
        <w:t xml:space="preserve">A rough model of the human body can be made by considering the arms and legs as cylinders, the torso as a rectangular prism and the head as a sphere. </w:t>
      </w:r>
    </w:p>
    <w:p w14:paraId="25514FEB" w14:textId="77777777" w:rsidR="00E850AC" w:rsidRPr="00EF2A07" w:rsidRDefault="00E850AC" w:rsidP="00E850AC">
      <w:pPr>
        <w:pStyle w:val="VCAAnumbers"/>
        <w:numPr>
          <w:ilvl w:val="0"/>
          <w:numId w:val="27"/>
        </w:numPr>
        <w:tabs>
          <w:tab w:val="left" w:pos="425"/>
        </w:tabs>
        <w:spacing w:before="120" w:after="120" w:line="280" w:lineRule="exact"/>
        <w:ind w:left="360"/>
        <w:contextualSpacing/>
        <w:rPr>
          <w:rFonts w:eastAsia="Calibri"/>
          <w:lang w:val="en-AU"/>
        </w:rPr>
      </w:pPr>
      <w:r w:rsidRPr="00EF2A07">
        <w:rPr>
          <w:rFonts w:eastAsia="Calibri"/>
          <w:lang w:val="en-AU"/>
        </w:rPr>
        <w:t>Using reasonable approximate measurements from a friend, form such a model, specify the relevant linear dimensions in c</w:t>
      </w:r>
      <w:r>
        <w:rPr>
          <w:rFonts w:eastAsia="Calibri"/>
          <w:lang w:val="en-AU"/>
        </w:rPr>
        <w:t>enti</w:t>
      </w:r>
      <w:r w:rsidRPr="00EF2A07">
        <w:rPr>
          <w:rFonts w:eastAsia="Calibri"/>
          <w:lang w:val="en-AU"/>
        </w:rPr>
        <w:t>m</w:t>
      </w:r>
      <w:r>
        <w:rPr>
          <w:rFonts w:eastAsia="Calibri"/>
          <w:lang w:val="en-AU"/>
        </w:rPr>
        <w:t>etres</w:t>
      </w:r>
      <w:r w:rsidRPr="00EF2A07">
        <w:rPr>
          <w:rFonts w:eastAsia="Calibri"/>
          <w:lang w:val="en-AU"/>
        </w:rPr>
        <w:t xml:space="preserve"> and calculate the surface area in square c</w:t>
      </w:r>
      <w:r>
        <w:rPr>
          <w:rFonts w:eastAsia="Calibri"/>
          <w:lang w:val="en-AU"/>
        </w:rPr>
        <w:t>enti</w:t>
      </w:r>
      <w:r w:rsidRPr="00EF2A07">
        <w:rPr>
          <w:rFonts w:eastAsia="Calibri"/>
          <w:lang w:val="en-AU"/>
        </w:rPr>
        <w:t>m</w:t>
      </w:r>
      <w:r>
        <w:rPr>
          <w:rFonts w:eastAsia="Calibri"/>
          <w:lang w:val="en-AU"/>
        </w:rPr>
        <w:t>etres</w:t>
      </w:r>
      <w:r w:rsidRPr="00EF2A07">
        <w:rPr>
          <w:rFonts w:eastAsia="Calibri"/>
          <w:lang w:val="en-AU"/>
        </w:rPr>
        <w:t xml:space="preserve"> and volume in cubic c</w:t>
      </w:r>
      <w:r>
        <w:rPr>
          <w:rFonts w:eastAsia="Calibri"/>
          <w:lang w:val="en-AU"/>
        </w:rPr>
        <w:t>enti</w:t>
      </w:r>
      <w:r w:rsidRPr="00EF2A07">
        <w:rPr>
          <w:rFonts w:eastAsia="Calibri"/>
          <w:lang w:val="en-AU"/>
        </w:rPr>
        <w:t>m</w:t>
      </w:r>
      <w:r>
        <w:rPr>
          <w:rFonts w:eastAsia="Calibri"/>
          <w:lang w:val="en-AU"/>
        </w:rPr>
        <w:t>etres</w:t>
      </w:r>
      <w:r w:rsidRPr="00EF2A07">
        <w:rPr>
          <w:rFonts w:eastAsia="Calibri"/>
          <w:lang w:val="en-AU"/>
        </w:rPr>
        <w:t xml:space="preserve"> for this model.</w:t>
      </w:r>
    </w:p>
    <w:p w14:paraId="3B73A557" w14:textId="77777777" w:rsidR="00E850AC" w:rsidRPr="00EF2A07" w:rsidRDefault="00E850AC" w:rsidP="00E850AC">
      <w:pPr>
        <w:pStyle w:val="VCAAnumbers"/>
        <w:numPr>
          <w:ilvl w:val="0"/>
          <w:numId w:val="27"/>
        </w:numPr>
        <w:tabs>
          <w:tab w:val="left" w:pos="425"/>
        </w:tabs>
        <w:spacing w:before="120" w:after="120" w:line="280" w:lineRule="exact"/>
        <w:ind w:left="360"/>
        <w:contextualSpacing/>
        <w:rPr>
          <w:rFonts w:eastAsia="Calibri"/>
          <w:lang w:val="en-AU"/>
        </w:rPr>
      </w:pPr>
      <w:r w:rsidRPr="00EF2A07">
        <w:rPr>
          <w:rFonts w:eastAsia="Calibri"/>
          <w:lang w:val="en-AU"/>
        </w:rPr>
        <w:t>Consider scaling factors for a similarity transformation (dilation) of linear dimensions from 0.1 to 2 in steps of 0.1. Plot a graph of surface area in terms of scaling factor and a graph of volume in terms of scaling factor.</w:t>
      </w:r>
    </w:p>
    <w:p w14:paraId="5E9AD292" w14:textId="77777777" w:rsidR="00E850AC" w:rsidRPr="00EF2A07" w:rsidRDefault="00E850AC" w:rsidP="00E850AC">
      <w:pPr>
        <w:pStyle w:val="VCAAHeading4"/>
      </w:pPr>
      <w:r>
        <w:br w:type="page"/>
      </w:r>
      <w:r w:rsidRPr="00EF2A07">
        <w:lastRenderedPageBreak/>
        <w:t>Part 4</w:t>
      </w:r>
    </w:p>
    <w:p w14:paraId="748D0E51" w14:textId="77777777" w:rsidR="00E850AC" w:rsidRPr="00EF2A07" w:rsidRDefault="00E850AC" w:rsidP="00E850AC">
      <w:pPr>
        <w:pStyle w:val="VCAAbody"/>
        <w:rPr>
          <w:lang w:val="en-AU"/>
        </w:rPr>
      </w:pPr>
      <w:r w:rsidRPr="00EF2A07">
        <w:rPr>
          <w:lang w:val="en-AU"/>
        </w:rPr>
        <w:t xml:space="preserve">Investigate examples of large statues throughout history, such as the Colossus of Rhodes, and the biomechanics of bone strength and mass under scaling. </w:t>
      </w:r>
    </w:p>
    <w:p w14:paraId="626B2D1D" w14:textId="77777777" w:rsidR="00E850AC" w:rsidRPr="00EF2A07" w:rsidRDefault="00E850AC" w:rsidP="00E850AC">
      <w:pPr>
        <w:pStyle w:val="VCAAHeading3"/>
      </w:pPr>
      <w:r w:rsidRPr="00EF2A07">
        <w:t>Areas of study</w:t>
      </w:r>
    </w:p>
    <w:p w14:paraId="44AE9CC2" w14:textId="6024C9C1" w:rsidR="00E850AC" w:rsidRDefault="00E850AC" w:rsidP="00E850AC">
      <w:pPr>
        <w:pStyle w:val="VCAAbody"/>
        <w:rPr>
          <w:lang w:val="en-AU"/>
        </w:rPr>
      </w:pPr>
      <w:r w:rsidRPr="00EF2A07">
        <w:rPr>
          <w:lang w:val="en-AU"/>
        </w:rP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E850AC" w:rsidRPr="00485F20" w14:paraId="7F5E827C" w14:textId="77777777" w:rsidTr="001F450B">
        <w:tc>
          <w:tcPr>
            <w:tcW w:w="6419" w:type="dxa"/>
            <w:gridSpan w:val="2"/>
            <w:shd w:val="clear" w:color="auto" w:fill="0F7EB4"/>
            <w:vAlign w:val="center"/>
          </w:tcPr>
          <w:p w14:paraId="5C8BEF0C" w14:textId="77777777" w:rsidR="00E850AC" w:rsidRPr="00485F20" w:rsidRDefault="00E850AC" w:rsidP="001F450B">
            <w:pPr>
              <w:pStyle w:val="VCAAtablecondensedheading"/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</w:rPr>
              <w:t>Unit 1</w:t>
            </w:r>
          </w:p>
        </w:tc>
      </w:tr>
      <w:tr w:rsidR="00E850AC" w:rsidRPr="00485F20" w14:paraId="03BB0A7C" w14:textId="77777777" w:rsidTr="001F450B">
        <w:tc>
          <w:tcPr>
            <w:tcW w:w="3209" w:type="dxa"/>
            <w:shd w:val="clear" w:color="auto" w:fill="auto"/>
          </w:tcPr>
          <w:p w14:paraId="67C0DB29" w14:textId="77777777" w:rsidR="00E850AC" w:rsidRPr="00485F20" w:rsidRDefault="00E850AC" w:rsidP="001F450B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3210" w:type="dxa"/>
            <w:shd w:val="clear" w:color="auto" w:fill="auto"/>
          </w:tcPr>
          <w:p w14:paraId="6CA4A782" w14:textId="77777777" w:rsidR="00E850AC" w:rsidRPr="00485F20" w:rsidRDefault="00E850AC" w:rsidP="001F450B">
            <w:pPr>
              <w:pStyle w:val="VCAAtablecondensed"/>
              <w:rPr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  <w:r>
              <w:rPr>
                <w:b/>
                <w:bCs/>
                <w:lang w:val="en-AU"/>
              </w:rPr>
              <w:t>s</w:t>
            </w:r>
          </w:p>
        </w:tc>
      </w:tr>
      <w:tr w:rsidR="00E850AC" w14:paraId="01E0E3E7" w14:textId="77777777" w:rsidTr="001F450B">
        <w:tc>
          <w:tcPr>
            <w:tcW w:w="3209" w:type="dxa"/>
          </w:tcPr>
          <w:p w14:paraId="398DEC06" w14:textId="6A58726D" w:rsidR="00E850AC" w:rsidRDefault="00E850AC" w:rsidP="00E850AC">
            <w:pPr>
              <w:pStyle w:val="VCAAtablecondensed"/>
            </w:pPr>
            <w:r w:rsidRPr="00BE5453">
              <w:rPr>
                <w:lang w:val="en-AU"/>
              </w:rPr>
              <w:t>Functions and graphs</w:t>
            </w:r>
          </w:p>
        </w:tc>
        <w:tc>
          <w:tcPr>
            <w:tcW w:w="3210" w:type="dxa"/>
          </w:tcPr>
          <w:p w14:paraId="14A465C5" w14:textId="274101D7" w:rsidR="00E850AC" w:rsidRDefault="00E850AC" w:rsidP="00E850AC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1, 2, 3</w:t>
            </w:r>
          </w:p>
        </w:tc>
      </w:tr>
      <w:tr w:rsidR="00E850AC" w14:paraId="7309CC30" w14:textId="77777777" w:rsidTr="001F450B">
        <w:tc>
          <w:tcPr>
            <w:tcW w:w="3209" w:type="dxa"/>
          </w:tcPr>
          <w:p w14:paraId="2B93C446" w14:textId="3520022A" w:rsidR="00E850AC" w:rsidRDefault="00E850AC" w:rsidP="00E850AC">
            <w:pPr>
              <w:pStyle w:val="VCAAtablecondensed"/>
              <w:rPr>
                <w:lang w:val="en-AU"/>
              </w:rPr>
            </w:pPr>
            <w:r w:rsidRPr="00BE5453">
              <w:rPr>
                <w:lang w:val="en-AU"/>
              </w:rPr>
              <w:t>Algebra</w:t>
            </w:r>
          </w:p>
        </w:tc>
        <w:tc>
          <w:tcPr>
            <w:tcW w:w="3210" w:type="dxa"/>
          </w:tcPr>
          <w:p w14:paraId="5EDD837A" w14:textId="1A3640C3" w:rsidR="00E850AC" w:rsidRDefault="00E850AC" w:rsidP="00E850AC">
            <w:pPr>
              <w:pStyle w:val="VCAAtablecondensed"/>
              <w:rPr>
                <w:lang w:val="en-AU"/>
              </w:rPr>
            </w:pPr>
            <w:r w:rsidRPr="00BE5453">
              <w:rPr>
                <w:lang w:val="en-AU"/>
              </w:rPr>
              <w:t xml:space="preserve">1, 2, </w:t>
            </w:r>
            <w:r>
              <w:rPr>
                <w:lang w:val="en-AU"/>
              </w:rPr>
              <w:t>4, 5</w:t>
            </w:r>
          </w:p>
        </w:tc>
      </w:tr>
      <w:tr w:rsidR="00E850AC" w14:paraId="7C8874E6" w14:textId="77777777" w:rsidTr="001F450B">
        <w:tc>
          <w:tcPr>
            <w:tcW w:w="3209" w:type="dxa"/>
          </w:tcPr>
          <w:p w14:paraId="59EB4AB7" w14:textId="16561887" w:rsidR="00E850AC" w:rsidRDefault="00E850AC" w:rsidP="00E850AC">
            <w:pPr>
              <w:pStyle w:val="VCAAtablecondensed"/>
              <w:rPr>
                <w:lang w:val="en-AU"/>
              </w:rPr>
            </w:pPr>
            <w:r w:rsidRPr="00BE5453">
              <w:rPr>
                <w:lang w:val="en-AU"/>
              </w:rPr>
              <w:t>Calculus</w:t>
            </w:r>
          </w:p>
        </w:tc>
        <w:tc>
          <w:tcPr>
            <w:tcW w:w="3210" w:type="dxa"/>
          </w:tcPr>
          <w:p w14:paraId="329E434B" w14:textId="5E0EE7B5" w:rsidR="00E850AC" w:rsidRDefault="00E850AC" w:rsidP="00E850AC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–</w:t>
            </w:r>
          </w:p>
        </w:tc>
      </w:tr>
      <w:tr w:rsidR="00E850AC" w14:paraId="4B1DF45A" w14:textId="77777777" w:rsidTr="001F450B">
        <w:tc>
          <w:tcPr>
            <w:tcW w:w="3209" w:type="dxa"/>
          </w:tcPr>
          <w:p w14:paraId="19F9A7E6" w14:textId="1BFCDFF6" w:rsidR="00E850AC" w:rsidRDefault="00E850AC" w:rsidP="00E850AC">
            <w:pPr>
              <w:pStyle w:val="VCAAtablecondensed"/>
            </w:pPr>
            <w:r w:rsidRPr="00BE5453">
              <w:rPr>
                <w:lang w:val="en-AU"/>
              </w:rPr>
              <w:t>Probability and statistics</w:t>
            </w:r>
          </w:p>
        </w:tc>
        <w:tc>
          <w:tcPr>
            <w:tcW w:w="3210" w:type="dxa"/>
          </w:tcPr>
          <w:p w14:paraId="19AADE46" w14:textId="642C8696" w:rsidR="00E850AC" w:rsidRDefault="00E850AC" w:rsidP="00E850AC">
            <w:pPr>
              <w:pStyle w:val="VCAAtablecondensed"/>
            </w:pPr>
            <w:r>
              <w:rPr>
                <w:lang w:val="en-AU"/>
              </w:rPr>
              <w:t>–</w:t>
            </w:r>
          </w:p>
        </w:tc>
      </w:tr>
    </w:tbl>
    <w:p w14:paraId="61BD9548" w14:textId="77777777" w:rsidR="00E850AC" w:rsidRPr="00EF2A07" w:rsidRDefault="00E850AC" w:rsidP="00E850AC">
      <w:pPr>
        <w:pStyle w:val="VCAAHeading3"/>
      </w:pPr>
      <w:r w:rsidRPr="00EF2A07">
        <w:t>Outcomes</w:t>
      </w:r>
    </w:p>
    <w:p w14:paraId="4114DFAC" w14:textId="0B8DA88F" w:rsidR="00E850AC" w:rsidRDefault="00E850AC" w:rsidP="00E850AC">
      <w:pPr>
        <w:pStyle w:val="VCAAbody"/>
        <w:rPr>
          <w:lang w:val="en-AU"/>
        </w:rPr>
      </w:pPr>
      <w:r w:rsidRPr="00EF2A07">
        <w:rPr>
          <w:lang w:val="en-AU"/>
        </w:rP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850AC" w:rsidRPr="00FA2380" w14:paraId="0CD9CF12" w14:textId="77777777" w:rsidTr="00E850AC">
        <w:tc>
          <w:tcPr>
            <w:tcW w:w="9629" w:type="dxa"/>
            <w:gridSpan w:val="3"/>
            <w:shd w:val="clear" w:color="auto" w:fill="0F7EB4"/>
            <w:vAlign w:val="center"/>
          </w:tcPr>
          <w:p w14:paraId="600076C8" w14:textId="01ED1829" w:rsidR="00E850AC" w:rsidRPr="00FA2380" w:rsidRDefault="00E850AC" w:rsidP="00E850AC">
            <w:pPr>
              <w:pStyle w:val="VCAAtablecondensedheading"/>
              <w:jc w:val="center"/>
              <w:rPr>
                <w:b/>
                <w:bCs/>
              </w:rPr>
            </w:pPr>
            <w:r>
              <w:rPr>
                <w:b/>
                <w:lang w:val="en-AU"/>
              </w:rPr>
              <w:t>Unit 1</w:t>
            </w:r>
          </w:p>
        </w:tc>
      </w:tr>
      <w:tr w:rsidR="00E850AC" w:rsidRPr="00FA2380" w14:paraId="79809A9C" w14:textId="77777777" w:rsidTr="00E850AC">
        <w:tc>
          <w:tcPr>
            <w:tcW w:w="3209" w:type="dxa"/>
            <w:shd w:val="clear" w:color="auto" w:fill="auto"/>
          </w:tcPr>
          <w:p w14:paraId="1C73B866" w14:textId="74DE6224" w:rsidR="00E850AC" w:rsidRPr="00E850AC" w:rsidRDefault="00E850AC" w:rsidP="00E850AC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Outcome</w:t>
            </w:r>
          </w:p>
        </w:tc>
        <w:tc>
          <w:tcPr>
            <w:tcW w:w="3210" w:type="dxa"/>
            <w:shd w:val="clear" w:color="auto" w:fill="auto"/>
          </w:tcPr>
          <w:p w14:paraId="1E75DC1A" w14:textId="1267E9DB" w:rsidR="00E850AC" w:rsidRPr="00E850AC" w:rsidRDefault="00E850AC" w:rsidP="00E850AC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knowledge dot points</w:t>
            </w:r>
          </w:p>
        </w:tc>
        <w:tc>
          <w:tcPr>
            <w:tcW w:w="3210" w:type="dxa"/>
            <w:shd w:val="clear" w:color="auto" w:fill="auto"/>
          </w:tcPr>
          <w:p w14:paraId="2A898A05" w14:textId="378323E4" w:rsidR="00E850AC" w:rsidRPr="00E850AC" w:rsidRDefault="00E850AC" w:rsidP="00E850AC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skills dot points</w:t>
            </w:r>
          </w:p>
        </w:tc>
      </w:tr>
      <w:tr w:rsidR="00E850AC" w14:paraId="7BC7BDEE" w14:textId="77777777" w:rsidTr="001F450B">
        <w:tc>
          <w:tcPr>
            <w:tcW w:w="3209" w:type="dxa"/>
          </w:tcPr>
          <w:p w14:paraId="1AE9950C" w14:textId="4EB267C7" w:rsidR="00E850AC" w:rsidRPr="000E2B81" w:rsidRDefault="00E850AC" w:rsidP="00E850AC">
            <w:pPr>
              <w:pStyle w:val="VCAAtablecondensed"/>
              <w:rPr>
                <w:bCs/>
              </w:rPr>
            </w:pPr>
            <w:r w:rsidRPr="00BE5453">
              <w:rPr>
                <w:lang w:val="en-AU"/>
              </w:rPr>
              <w:t>1</w:t>
            </w:r>
          </w:p>
        </w:tc>
        <w:tc>
          <w:tcPr>
            <w:tcW w:w="3210" w:type="dxa"/>
          </w:tcPr>
          <w:p w14:paraId="0E07A6FC" w14:textId="27EAA884" w:rsidR="00E850AC" w:rsidRDefault="00E850AC" w:rsidP="00E850AC">
            <w:pPr>
              <w:pStyle w:val="VCAAtablecondensed"/>
            </w:pPr>
            <w:r>
              <w:rPr>
                <w:lang w:val="en-AU"/>
              </w:rPr>
              <w:t>1, 2, 3, 4, 5</w:t>
            </w:r>
          </w:p>
        </w:tc>
        <w:tc>
          <w:tcPr>
            <w:tcW w:w="3210" w:type="dxa"/>
          </w:tcPr>
          <w:p w14:paraId="569DB8CF" w14:textId="3A8DC9CA" w:rsidR="00E850AC" w:rsidRDefault="00E850AC" w:rsidP="00E850AC">
            <w:pPr>
              <w:pStyle w:val="VCAAtablecondensed"/>
            </w:pPr>
            <w:r>
              <w:rPr>
                <w:lang w:val="en-AU"/>
              </w:rPr>
              <w:t>1, 2, 3, 11, 13, 14</w:t>
            </w:r>
          </w:p>
        </w:tc>
      </w:tr>
      <w:tr w:rsidR="00E850AC" w14:paraId="1D9FFD98" w14:textId="77777777" w:rsidTr="001F450B">
        <w:tc>
          <w:tcPr>
            <w:tcW w:w="3209" w:type="dxa"/>
          </w:tcPr>
          <w:p w14:paraId="38CE4068" w14:textId="7EB828E0" w:rsidR="00E850AC" w:rsidRPr="000E2B81" w:rsidRDefault="00E850AC" w:rsidP="00E850AC">
            <w:pPr>
              <w:pStyle w:val="VCAAtablecondensed"/>
              <w:rPr>
                <w:bCs/>
              </w:rPr>
            </w:pPr>
            <w:r w:rsidRPr="00BE5453">
              <w:rPr>
                <w:lang w:val="en-AU"/>
              </w:rPr>
              <w:t>2</w:t>
            </w:r>
          </w:p>
        </w:tc>
        <w:tc>
          <w:tcPr>
            <w:tcW w:w="3210" w:type="dxa"/>
          </w:tcPr>
          <w:p w14:paraId="5B89B3D1" w14:textId="2F4EA48D" w:rsidR="00E850AC" w:rsidRDefault="00E850AC" w:rsidP="00E850AC">
            <w:pPr>
              <w:pStyle w:val="VCAAtablecondensed"/>
            </w:pPr>
            <w:r w:rsidRPr="00BE5453">
              <w:rPr>
                <w:lang w:val="en-AU"/>
              </w:rPr>
              <w:t>1, 2</w:t>
            </w:r>
            <w:r>
              <w:rPr>
                <w:lang w:val="en-AU"/>
              </w:rPr>
              <w:t>, 5</w:t>
            </w:r>
          </w:p>
        </w:tc>
        <w:tc>
          <w:tcPr>
            <w:tcW w:w="3210" w:type="dxa"/>
          </w:tcPr>
          <w:p w14:paraId="4CC43131" w14:textId="0E90CC1D" w:rsidR="00E850AC" w:rsidRDefault="00E850AC" w:rsidP="00E850AC">
            <w:pPr>
              <w:pStyle w:val="VCAAtablecondensed"/>
            </w:pPr>
            <w:r>
              <w:rPr>
                <w:lang w:val="en-AU"/>
              </w:rPr>
              <w:t xml:space="preserve">1, </w:t>
            </w:r>
            <w:r w:rsidRPr="00BE5453">
              <w:rPr>
                <w:lang w:val="en-AU"/>
              </w:rPr>
              <w:t>2,</w:t>
            </w:r>
            <w:r>
              <w:rPr>
                <w:lang w:val="en-AU"/>
              </w:rPr>
              <w:t xml:space="preserve"> 3, </w:t>
            </w:r>
            <w:r w:rsidRPr="00BE5453">
              <w:rPr>
                <w:lang w:val="en-AU"/>
              </w:rPr>
              <w:t xml:space="preserve"> </w:t>
            </w:r>
            <w:r>
              <w:rPr>
                <w:lang w:val="en-AU"/>
              </w:rPr>
              <w:t>5, 6</w:t>
            </w:r>
          </w:p>
        </w:tc>
      </w:tr>
      <w:tr w:rsidR="00E850AC" w14:paraId="591B676C" w14:textId="77777777" w:rsidTr="001F450B">
        <w:tc>
          <w:tcPr>
            <w:tcW w:w="3209" w:type="dxa"/>
          </w:tcPr>
          <w:p w14:paraId="1DD06D10" w14:textId="01DFD1F0" w:rsidR="00E850AC" w:rsidRPr="000E2B81" w:rsidRDefault="00E850AC" w:rsidP="00E850AC">
            <w:pPr>
              <w:pStyle w:val="VCAAtablecondensed"/>
              <w:rPr>
                <w:bCs/>
              </w:rPr>
            </w:pPr>
            <w:r w:rsidRPr="00BE5453">
              <w:rPr>
                <w:lang w:val="en-AU"/>
              </w:rPr>
              <w:t>3</w:t>
            </w:r>
          </w:p>
        </w:tc>
        <w:tc>
          <w:tcPr>
            <w:tcW w:w="3210" w:type="dxa"/>
          </w:tcPr>
          <w:p w14:paraId="5FF4C52B" w14:textId="5BBBD38D" w:rsidR="00E850AC" w:rsidRDefault="00E850AC" w:rsidP="00E850AC">
            <w:pPr>
              <w:pStyle w:val="VCAAtablecondensed"/>
            </w:pPr>
            <w:r>
              <w:rPr>
                <w:lang w:val="en-AU"/>
              </w:rPr>
              <w:t>3, 4, 5, 8</w:t>
            </w:r>
          </w:p>
        </w:tc>
        <w:tc>
          <w:tcPr>
            <w:tcW w:w="3210" w:type="dxa"/>
          </w:tcPr>
          <w:p w14:paraId="4C3CF1F7" w14:textId="1F5C09D1" w:rsidR="00E850AC" w:rsidRDefault="00E850AC" w:rsidP="00E850AC">
            <w:pPr>
              <w:pStyle w:val="VCAAtablecondensed"/>
            </w:pPr>
            <w:r>
              <w:rPr>
                <w:lang w:val="en-AU"/>
              </w:rPr>
              <w:t>3, 5, 6, 7, 12, 13</w:t>
            </w:r>
          </w:p>
        </w:tc>
      </w:tr>
    </w:tbl>
    <w:p w14:paraId="54882AEC" w14:textId="77777777" w:rsidR="00E850AC" w:rsidRPr="00EF2A07" w:rsidRDefault="00E850AC" w:rsidP="00E850AC">
      <w:pPr>
        <w:pStyle w:val="VCAAbody"/>
        <w:rPr>
          <w:lang w:val="en-AU"/>
        </w:rPr>
      </w:pPr>
    </w:p>
    <w:sectPr w:rsidR="00E850AC" w:rsidRPr="00EF2A07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CF4A412" w:rsidR="00FD29D3" w:rsidRPr="00D86DE4" w:rsidRDefault="00E850A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197D">
          <w:rPr>
            <w:color w:val="999999" w:themeColor="accent2"/>
          </w:rPr>
          <w:t>VCE Mathematical Methods Unit 1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D6F"/>
    <w:multiLevelType w:val="hybridMultilevel"/>
    <w:tmpl w:val="E218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34A9A"/>
    <w:multiLevelType w:val="hybridMultilevel"/>
    <w:tmpl w:val="58C6F6A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50731"/>
    <w:multiLevelType w:val="hybridMultilevel"/>
    <w:tmpl w:val="F022DA6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7200D8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A30F0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A255CB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70CB3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19780B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2E3E23"/>
    <w:multiLevelType w:val="hybridMultilevel"/>
    <w:tmpl w:val="79809B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71FC7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1D3231"/>
    <w:multiLevelType w:val="hybridMultilevel"/>
    <w:tmpl w:val="2D58CD56"/>
    <w:lvl w:ilvl="0" w:tplc="F45E58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8"/>
  </w:num>
  <w:num w:numId="5">
    <w:abstractNumId w:val="23"/>
  </w:num>
  <w:num w:numId="6">
    <w:abstractNumId w:val="1"/>
  </w:num>
  <w:num w:numId="7">
    <w:abstractNumId w:val="15"/>
  </w:num>
  <w:num w:numId="8">
    <w:abstractNumId w:val="9"/>
  </w:num>
  <w:num w:numId="9">
    <w:abstractNumId w:val="19"/>
  </w:num>
  <w:num w:numId="10">
    <w:abstractNumId w:val="4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11"/>
  </w:num>
  <w:num w:numId="16">
    <w:abstractNumId w:val="6"/>
  </w:num>
  <w:num w:numId="17">
    <w:abstractNumId w:val="14"/>
  </w:num>
  <w:num w:numId="18">
    <w:abstractNumId w:val="22"/>
  </w:num>
  <w:num w:numId="19">
    <w:abstractNumId w:val="2"/>
  </w:num>
  <w:num w:numId="20">
    <w:abstractNumId w:val="12"/>
  </w:num>
  <w:num w:numId="21">
    <w:abstractNumId w:val="20"/>
  </w:num>
  <w:num w:numId="22">
    <w:abstractNumId w:val="21"/>
  </w:num>
  <w:num w:numId="23">
    <w:abstractNumId w:val="24"/>
  </w:num>
  <w:num w:numId="24">
    <w:abstractNumId w:val="0"/>
  </w:num>
  <w:num w:numId="25">
    <w:abstractNumId w:val="5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A71F7"/>
    <w:rsid w:val="000E2B81"/>
    <w:rsid w:val="000F09E4"/>
    <w:rsid w:val="000F16FD"/>
    <w:rsid w:val="000F5AAF"/>
    <w:rsid w:val="00143520"/>
    <w:rsid w:val="00153AD2"/>
    <w:rsid w:val="001779EA"/>
    <w:rsid w:val="001D3246"/>
    <w:rsid w:val="002029F5"/>
    <w:rsid w:val="00213196"/>
    <w:rsid w:val="002279BA"/>
    <w:rsid w:val="002329F3"/>
    <w:rsid w:val="00243F0D"/>
    <w:rsid w:val="00260349"/>
    <w:rsid w:val="00260767"/>
    <w:rsid w:val="002647BB"/>
    <w:rsid w:val="002754C1"/>
    <w:rsid w:val="002841C8"/>
    <w:rsid w:val="0028516B"/>
    <w:rsid w:val="002A37F4"/>
    <w:rsid w:val="002B4C4E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19EB"/>
    <w:rsid w:val="003A635E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1197D"/>
    <w:rsid w:val="00654A3F"/>
    <w:rsid w:val="0068471E"/>
    <w:rsid w:val="00684F98"/>
    <w:rsid w:val="00685818"/>
    <w:rsid w:val="00693FFD"/>
    <w:rsid w:val="006D2159"/>
    <w:rsid w:val="006F787C"/>
    <w:rsid w:val="00702636"/>
    <w:rsid w:val="00724507"/>
    <w:rsid w:val="00727716"/>
    <w:rsid w:val="00744BC4"/>
    <w:rsid w:val="0075391A"/>
    <w:rsid w:val="00773E6C"/>
    <w:rsid w:val="00777727"/>
    <w:rsid w:val="007807F1"/>
    <w:rsid w:val="00781FB1"/>
    <w:rsid w:val="007C4ED7"/>
    <w:rsid w:val="007D1B6D"/>
    <w:rsid w:val="007E7F95"/>
    <w:rsid w:val="00805FDF"/>
    <w:rsid w:val="00813C37"/>
    <w:rsid w:val="008154B5"/>
    <w:rsid w:val="00823962"/>
    <w:rsid w:val="00827233"/>
    <w:rsid w:val="00850410"/>
    <w:rsid w:val="00852719"/>
    <w:rsid w:val="00852BD0"/>
    <w:rsid w:val="00860115"/>
    <w:rsid w:val="0088783C"/>
    <w:rsid w:val="009370BC"/>
    <w:rsid w:val="00970580"/>
    <w:rsid w:val="00984E15"/>
    <w:rsid w:val="0098739B"/>
    <w:rsid w:val="009A0DA4"/>
    <w:rsid w:val="009A192D"/>
    <w:rsid w:val="009B2060"/>
    <w:rsid w:val="009B61E5"/>
    <w:rsid w:val="009D1E89"/>
    <w:rsid w:val="009E5707"/>
    <w:rsid w:val="00A13080"/>
    <w:rsid w:val="00A17661"/>
    <w:rsid w:val="00A24B2D"/>
    <w:rsid w:val="00A40966"/>
    <w:rsid w:val="00A921E0"/>
    <w:rsid w:val="00A922F4"/>
    <w:rsid w:val="00AD63F0"/>
    <w:rsid w:val="00AE5526"/>
    <w:rsid w:val="00AF051B"/>
    <w:rsid w:val="00AF2753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A55BB"/>
    <w:rsid w:val="00BB3BAB"/>
    <w:rsid w:val="00BD0724"/>
    <w:rsid w:val="00BD2B91"/>
    <w:rsid w:val="00BE5521"/>
    <w:rsid w:val="00BF41AE"/>
    <w:rsid w:val="00BF6C23"/>
    <w:rsid w:val="00C519C2"/>
    <w:rsid w:val="00C53263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19A2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850AC"/>
    <w:rsid w:val="00EA196E"/>
    <w:rsid w:val="00EB0C84"/>
    <w:rsid w:val="00EC70E6"/>
    <w:rsid w:val="00F17FDE"/>
    <w:rsid w:val="00F40D53"/>
    <w:rsid w:val="00F4525C"/>
    <w:rsid w:val="00F50D86"/>
    <w:rsid w:val="00F73679"/>
    <w:rsid w:val="00FA2380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4A729F"/>
    <w:rsid w:val="007F01C9"/>
    <w:rsid w:val="00834D62"/>
    <w:rsid w:val="009325D2"/>
    <w:rsid w:val="00DA5894"/>
    <w:rsid w:val="00E14341"/>
    <w:rsid w:val="00E2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EFD0CE-5E08-4993-BA87-A0344A2E3646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 1</vt:lpstr>
    </vt:vector>
  </TitlesOfParts>
  <Company>Victorian Curriculum and Assessment Authority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 1</dc:title>
  <dc:subject>VCE Mathematical Methods</dc:subject>
  <dc:creator>vcaa@education.vic.gov.au</dc:creator>
  <cp:keywords>mathematical methods, VCE, sample, context, assessment, scaling, human, measures, unit 1</cp:keywords>
  <cp:lastModifiedBy>Julie Coleman</cp:lastModifiedBy>
  <cp:revision>3</cp:revision>
  <cp:lastPrinted>2015-05-15T02:36:00Z</cp:lastPrinted>
  <dcterms:created xsi:type="dcterms:W3CDTF">2022-12-20T04:14:00Z</dcterms:created>
  <dcterms:modified xsi:type="dcterms:W3CDTF">2022-12-20T04:18:00Z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