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2135A2" w:rsidR="00F4525C" w:rsidRDefault="00C904AB" w:rsidP="009B61E5">
      <w:pPr>
        <w:pStyle w:val="VCAADocumenttitle"/>
      </w:pPr>
      <w:r>
        <w:t xml:space="preserve">VCE Specialist Mathematics Unit </w:t>
      </w:r>
      <w:r w:rsidR="00A13080">
        <w:t>1</w:t>
      </w:r>
    </w:p>
    <w:p w14:paraId="74E62D52" w14:textId="22C42270" w:rsidR="00243F0D" w:rsidRPr="00EC1E10" w:rsidRDefault="00A13080" w:rsidP="00EC1E10">
      <w:pPr>
        <w:pStyle w:val="VCAAHeading2"/>
        <w:ind w:right="-142"/>
      </w:pPr>
      <w:bookmarkStart w:id="0" w:name="TemplateOverview"/>
      <w:bookmarkEnd w:id="0"/>
      <w:r w:rsidRPr="00EC1E10">
        <w:t xml:space="preserve">Mathematical investigation: </w:t>
      </w:r>
      <w:r w:rsidR="00EC1E10" w:rsidRPr="00EC1E10">
        <w:t>Linear recurrence relations</w:t>
      </w:r>
    </w:p>
    <w:p w14:paraId="767EFE40" w14:textId="77777777" w:rsidR="00744BC4" w:rsidRPr="0030505C" w:rsidRDefault="00744BC4" w:rsidP="00744BC4">
      <w:pPr>
        <w:pStyle w:val="VCAAHeading3"/>
        <w:rPr>
          <w:lang w:val="en-AU"/>
        </w:rPr>
      </w:pPr>
      <w:r w:rsidRPr="0030505C">
        <w:rPr>
          <w:lang w:val="en-AU"/>
        </w:rPr>
        <w:t>Formulation</w:t>
      </w:r>
    </w:p>
    <w:p w14:paraId="32E02A62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 xml:space="preserve">You will have seen in this course how linear recurrence relations can be used to accurately model financial situations. </w:t>
      </w:r>
    </w:p>
    <w:p w14:paraId="50F91C6A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There are situations where we can use interrelated linear recurrence relations to investigate such things as competitions in markets or grow</w:t>
      </w:r>
      <w:r>
        <w:rPr>
          <w:lang w:val="en-AU"/>
        </w:rPr>
        <w:t>th</w:t>
      </w:r>
      <w:r w:rsidRPr="00B220D8">
        <w:rPr>
          <w:lang w:val="en-AU"/>
        </w:rPr>
        <w:t xml:space="preserve"> of two populations. For example, two firms could sell potato chips in a city and both have some natural growth</w:t>
      </w:r>
      <w:r>
        <w:rPr>
          <w:lang w:val="en-AU"/>
        </w:rPr>
        <w:t>,</w:t>
      </w:r>
      <w:r w:rsidRPr="00B220D8">
        <w:rPr>
          <w:lang w:val="en-AU"/>
        </w:rPr>
        <w:t xml:space="preserve"> but we consider what happens to the sales of one as the other increases.</w:t>
      </w:r>
      <w:r>
        <w:rPr>
          <w:lang w:val="en-AU"/>
        </w:rPr>
        <w:t xml:space="preserve"> </w:t>
      </w:r>
      <w:r w:rsidRPr="00B220D8">
        <w:rPr>
          <w:lang w:val="en-AU"/>
        </w:rPr>
        <w:t xml:space="preserve">You could undertake this for two species of animals </w:t>
      </w:r>
      <w:r>
        <w:rPr>
          <w:lang w:val="en-AU"/>
        </w:rPr>
        <w:t>where</w:t>
      </w:r>
      <w:r w:rsidRPr="00B220D8">
        <w:rPr>
          <w:lang w:val="en-AU"/>
        </w:rPr>
        <w:t xml:space="preserve"> one preys on the other but there is a fine balance to make sure that both species can survive</w:t>
      </w:r>
    </w:p>
    <w:p w14:paraId="1C75B052" w14:textId="77777777" w:rsidR="00EF60A4" w:rsidRPr="00B220D8" w:rsidRDefault="00EF60A4" w:rsidP="00EF60A4">
      <w:pPr>
        <w:pStyle w:val="VCAAHeading3"/>
        <w:rPr>
          <w:lang w:val="en-AU"/>
        </w:rPr>
      </w:pPr>
      <w:r w:rsidRPr="00B220D8">
        <w:rPr>
          <w:lang w:val="en-AU"/>
        </w:rPr>
        <w:t>Exploration</w:t>
      </w:r>
    </w:p>
    <w:p w14:paraId="37ECEEE3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Use spreadsheets or coding to explore what happens.</w:t>
      </w:r>
      <w:r>
        <w:rPr>
          <w:lang w:val="en-AU"/>
        </w:rPr>
        <w:t xml:space="preserve"> </w:t>
      </w:r>
      <w:r w:rsidRPr="00B220D8">
        <w:rPr>
          <w:lang w:val="en-AU"/>
        </w:rPr>
        <w:t>For example</w:t>
      </w:r>
      <w:r>
        <w:rPr>
          <w:lang w:val="en-AU"/>
        </w:rPr>
        <w:t>,</w:t>
      </w:r>
      <w:r w:rsidRPr="00B220D8">
        <w:rPr>
          <w:lang w:val="en-AU"/>
        </w:rPr>
        <w:t xml:space="preserve"> for the potato chip company scenario.</w:t>
      </w:r>
    </w:p>
    <w:p w14:paraId="5703C3AE" w14:textId="77777777" w:rsidR="00EF60A4" w:rsidRPr="00B220D8" w:rsidRDefault="00EF60A4" w:rsidP="00EF60A4">
      <w:pPr>
        <w:pStyle w:val="VCAAbody"/>
        <w:rPr>
          <w:b/>
          <w:lang w:val="en-AU"/>
        </w:rPr>
      </w:pPr>
      <w:r w:rsidRPr="00B220D8">
        <w:rPr>
          <w:lang w:val="en-AU"/>
        </w:rPr>
        <w:t xml:space="preserve">Let </w:t>
      </w:r>
      <w:proofErr w:type="spellStart"/>
      <w:r w:rsidRPr="00B220D8">
        <w:rPr>
          <w:i/>
          <w:lang w:val="en-AU"/>
        </w:rPr>
        <w:t>x</w:t>
      </w:r>
      <w:r w:rsidRPr="00B220D8">
        <w:rPr>
          <w:i/>
          <w:vertAlign w:val="subscript"/>
          <w:lang w:val="en-AU"/>
        </w:rPr>
        <w:t>n</w:t>
      </w:r>
      <w:proofErr w:type="spellEnd"/>
      <w:r w:rsidRPr="00B220D8">
        <w:rPr>
          <w:vertAlign w:val="subscript"/>
          <w:lang w:val="en-AU"/>
        </w:rPr>
        <w:t xml:space="preserve"> </w:t>
      </w:r>
      <w:r w:rsidRPr="00B220D8">
        <w:rPr>
          <w:lang w:val="en-AU"/>
        </w:rPr>
        <w:t xml:space="preserve">be the sales per month of the </w:t>
      </w:r>
      <w:proofErr w:type="spellStart"/>
      <w:r w:rsidRPr="00B220D8">
        <w:rPr>
          <w:lang w:val="en-AU"/>
        </w:rPr>
        <w:t>Kryspy</w:t>
      </w:r>
      <w:proofErr w:type="spellEnd"/>
      <w:r w:rsidRPr="00B220D8">
        <w:rPr>
          <w:lang w:val="en-AU"/>
        </w:rPr>
        <w:t xml:space="preserve"> company and </w:t>
      </w:r>
      <w:proofErr w:type="spellStart"/>
      <w:r w:rsidRPr="00B220D8">
        <w:rPr>
          <w:i/>
          <w:lang w:val="en-AU"/>
        </w:rPr>
        <w:t>y</w:t>
      </w:r>
      <w:r w:rsidRPr="00B220D8">
        <w:rPr>
          <w:i/>
          <w:vertAlign w:val="subscript"/>
          <w:lang w:val="en-AU"/>
        </w:rPr>
        <w:t>n</w:t>
      </w:r>
      <w:proofErr w:type="spellEnd"/>
      <w:r w:rsidRPr="00B220D8">
        <w:rPr>
          <w:vertAlign w:val="subscript"/>
          <w:lang w:val="en-AU"/>
        </w:rPr>
        <w:t xml:space="preserve"> </w:t>
      </w:r>
      <w:r w:rsidRPr="00B220D8">
        <w:rPr>
          <w:lang w:val="en-AU"/>
        </w:rPr>
        <w:t>be the sales per month of the Curly company. Consider the following scenario</w:t>
      </w:r>
      <w:r>
        <w:rPr>
          <w:lang w:val="en-AU"/>
        </w:rPr>
        <w:t>:</w:t>
      </w:r>
    </w:p>
    <w:p w14:paraId="559C74C6" w14:textId="77777777" w:rsidR="00EF60A4" w:rsidRPr="00B220D8" w:rsidRDefault="00EF60A4" w:rsidP="00EF60A4">
      <w:pPr>
        <w:pStyle w:val="VCAAbody"/>
        <w:rPr>
          <w:lang w:val="en-AU"/>
        </w:rPr>
      </w:pPr>
      <w:r w:rsidRPr="00B35D78">
        <w:rPr>
          <w:rFonts w:ascii="Times New Roman" w:hAnsi="Times New Roman" w:cs="Times New Roman"/>
          <w:i/>
          <w:lang w:val="en-AU"/>
        </w:rPr>
        <w:t>x</w:t>
      </w:r>
      <w:r w:rsidRPr="00B35D78">
        <w:rPr>
          <w:rFonts w:ascii="Times New Roman" w:hAnsi="Times New Roman" w:cs="Times New Roman"/>
          <w:vertAlign w:val="subscript"/>
          <w:lang w:val="en-AU"/>
        </w:rPr>
        <w:t>1</w:t>
      </w:r>
      <w:r w:rsidRPr="00B35D78">
        <w:rPr>
          <w:rFonts w:ascii="Times New Roman" w:hAnsi="Times New Roman" w:cs="Times New Roman"/>
          <w:lang w:val="en-AU"/>
        </w:rPr>
        <w:t xml:space="preserve"> = 40 000</w:t>
      </w:r>
      <w:r w:rsidRPr="00B220D8">
        <w:rPr>
          <w:lang w:val="en-AU"/>
        </w:rPr>
        <w:t xml:space="preserve"> and </w:t>
      </w:r>
      <w:r w:rsidRPr="00B35D78">
        <w:rPr>
          <w:rFonts w:ascii="Times New Roman" w:hAnsi="Times New Roman" w:cs="Times New Roman"/>
          <w:i/>
          <w:lang w:val="en-AU"/>
        </w:rPr>
        <w:t>y</w:t>
      </w:r>
      <w:r w:rsidRPr="00B35D78">
        <w:rPr>
          <w:rFonts w:ascii="Times New Roman" w:hAnsi="Times New Roman" w:cs="Times New Roman"/>
          <w:vertAlign w:val="subscript"/>
          <w:lang w:val="en-AU"/>
        </w:rPr>
        <w:t>1</w:t>
      </w:r>
      <w:r w:rsidRPr="00B35D78">
        <w:rPr>
          <w:rFonts w:ascii="Times New Roman" w:hAnsi="Times New Roman" w:cs="Times New Roman"/>
          <w:lang w:val="en-AU"/>
        </w:rPr>
        <w:t>= 25 000</w:t>
      </w:r>
      <w:r w:rsidRPr="00B220D8">
        <w:rPr>
          <w:lang w:val="en-AU"/>
        </w:rPr>
        <w:t xml:space="preserve"> and </w:t>
      </w:r>
    </w:p>
    <w:p w14:paraId="6E38A904" w14:textId="77777777" w:rsidR="00EF60A4" w:rsidRPr="00B35D78" w:rsidRDefault="00EF60A4" w:rsidP="00EF60A4">
      <w:pPr>
        <w:pStyle w:val="VCAAbody"/>
        <w:rPr>
          <w:rFonts w:ascii="Times New Roman" w:hAnsi="Times New Roman" w:cs="Times New Roman"/>
          <w:vertAlign w:val="superscript"/>
          <w:lang w:val="en-AU"/>
        </w:rPr>
      </w:pPr>
      <w:proofErr w:type="spellStart"/>
      <w:r w:rsidRPr="00B35D78">
        <w:rPr>
          <w:rFonts w:ascii="Times New Roman" w:hAnsi="Times New Roman" w:cs="Times New Roman"/>
          <w:i/>
          <w:lang w:val="en-AU"/>
        </w:rPr>
        <w:t>x</w:t>
      </w:r>
      <w:r w:rsidRPr="00B35D78">
        <w:rPr>
          <w:rFonts w:ascii="Times New Roman" w:hAnsi="Times New Roman" w:cs="Times New Roman"/>
          <w:vertAlign w:val="subscript"/>
          <w:lang w:val="en-AU"/>
        </w:rPr>
        <w:t>n</w:t>
      </w:r>
      <w:proofErr w:type="spellEnd"/>
      <w:r w:rsidRPr="00B35D78">
        <w:rPr>
          <w:rFonts w:ascii="Times New Roman" w:hAnsi="Times New Roman" w:cs="Times New Roman"/>
          <w:vertAlign w:val="subscript"/>
          <w:lang w:val="en-AU"/>
        </w:rPr>
        <w:t xml:space="preserve"> + 1</w:t>
      </w:r>
      <w:r w:rsidRPr="00B35D78">
        <w:rPr>
          <w:rFonts w:ascii="Times New Roman" w:hAnsi="Times New Roman" w:cs="Times New Roman"/>
          <w:lang w:val="en-AU"/>
        </w:rPr>
        <w:t xml:space="preserve"> = 40000 + 0.05</w:t>
      </w:r>
      <w:r w:rsidRPr="00B35D78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B35D78">
        <w:rPr>
          <w:rFonts w:ascii="Times New Roman" w:hAnsi="Times New Roman" w:cs="Times New Roman"/>
          <w:i/>
          <w:lang w:val="en-AU"/>
        </w:rPr>
        <w:t>x</w:t>
      </w:r>
      <w:r w:rsidRPr="00B35D78">
        <w:rPr>
          <w:rFonts w:ascii="Times New Roman" w:hAnsi="Times New Roman" w:cs="Times New Roman"/>
          <w:vertAlign w:val="subscript"/>
          <w:lang w:val="en-AU"/>
        </w:rPr>
        <w:t>n</w:t>
      </w:r>
      <w:proofErr w:type="spellEnd"/>
      <w:r w:rsidRPr="00B35D78">
        <w:rPr>
          <w:rFonts w:ascii="Times New Roman" w:hAnsi="Times New Roman" w:cs="Times New Roman"/>
          <w:lang w:val="en-AU"/>
        </w:rPr>
        <w:t xml:space="preserve"> –0.06</w:t>
      </w:r>
      <w:r w:rsidRPr="00B35D78">
        <w:rPr>
          <w:rFonts w:ascii="Times New Roman" w:hAnsi="Times New Roman" w:cs="Times New Roman"/>
          <w:i/>
          <w:lang w:val="en-AU"/>
        </w:rPr>
        <w:t>y</w:t>
      </w:r>
      <w:r w:rsidRPr="00B35D78">
        <w:rPr>
          <w:rFonts w:ascii="Times New Roman" w:hAnsi="Times New Roman" w:cs="Times New Roman"/>
          <w:i/>
          <w:vertAlign w:val="subscript"/>
          <w:lang w:val="en-AU"/>
        </w:rPr>
        <w:t>n</w:t>
      </w:r>
    </w:p>
    <w:p w14:paraId="0EB8FD89" w14:textId="77777777" w:rsidR="00EF60A4" w:rsidRPr="00B35D78" w:rsidRDefault="00EF60A4" w:rsidP="00EF60A4">
      <w:pPr>
        <w:pStyle w:val="VCAAbody"/>
        <w:rPr>
          <w:rFonts w:ascii="Times New Roman" w:hAnsi="Times New Roman" w:cs="Times New Roman"/>
          <w:i/>
          <w:vertAlign w:val="subscript"/>
          <w:lang w:val="en-AU"/>
        </w:rPr>
      </w:pPr>
      <w:proofErr w:type="spellStart"/>
      <w:r w:rsidRPr="00B35D78">
        <w:rPr>
          <w:rFonts w:ascii="Times New Roman" w:hAnsi="Times New Roman" w:cs="Times New Roman"/>
          <w:i/>
          <w:lang w:val="en-AU"/>
        </w:rPr>
        <w:t>y</w:t>
      </w:r>
      <w:r w:rsidRPr="00B35D78">
        <w:rPr>
          <w:rFonts w:ascii="Times New Roman" w:hAnsi="Times New Roman" w:cs="Times New Roman"/>
          <w:vertAlign w:val="subscript"/>
          <w:lang w:val="en-AU"/>
        </w:rPr>
        <w:t>n</w:t>
      </w:r>
      <w:proofErr w:type="spellEnd"/>
      <w:r w:rsidRPr="00B35D78">
        <w:rPr>
          <w:rFonts w:ascii="Times New Roman" w:hAnsi="Times New Roman" w:cs="Times New Roman"/>
          <w:vertAlign w:val="subscript"/>
          <w:lang w:val="en-AU"/>
        </w:rPr>
        <w:t xml:space="preserve"> + 1</w:t>
      </w:r>
      <w:r w:rsidRPr="00B35D78">
        <w:rPr>
          <w:rFonts w:ascii="Times New Roman" w:hAnsi="Times New Roman" w:cs="Times New Roman"/>
          <w:lang w:val="en-AU"/>
        </w:rPr>
        <w:t xml:space="preserve"> = 40000 + 0.2</w:t>
      </w:r>
      <w:r w:rsidRPr="00B35D78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B35D78">
        <w:rPr>
          <w:rFonts w:ascii="Times New Roman" w:hAnsi="Times New Roman" w:cs="Times New Roman"/>
          <w:i/>
          <w:lang w:val="en-AU"/>
        </w:rPr>
        <w:t>y</w:t>
      </w:r>
      <w:r w:rsidRPr="00B35D78">
        <w:rPr>
          <w:rFonts w:ascii="Times New Roman" w:hAnsi="Times New Roman" w:cs="Times New Roman"/>
          <w:vertAlign w:val="subscript"/>
          <w:lang w:val="en-AU"/>
        </w:rPr>
        <w:t>n</w:t>
      </w:r>
      <w:proofErr w:type="spellEnd"/>
      <w:r w:rsidRPr="00B35D78">
        <w:rPr>
          <w:rFonts w:ascii="Times New Roman" w:hAnsi="Times New Roman" w:cs="Times New Roman"/>
          <w:lang w:val="en-AU"/>
        </w:rPr>
        <w:t xml:space="preserve"> –0. 03</w:t>
      </w:r>
      <w:r w:rsidRPr="00B35D78">
        <w:rPr>
          <w:rFonts w:ascii="Times New Roman" w:hAnsi="Times New Roman" w:cs="Times New Roman"/>
          <w:i/>
          <w:lang w:val="en-AU"/>
        </w:rPr>
        <w:t>x</w:t>
      </w:r>
      <w:r w:rsidRPr="00B35D78">
        <w:rPr>
          <w:rFonts w:ascii="Times New Roman" w:hAnsi="Times New Roman" w:cs="Times New Roman"/>
          <w:i/>
          <w:vertAlign w:val="subscript"/>
          <w:lang w:val="en-AU"/>
        </w:rPr>
        <w:t>n</w:t>
      </w:r>
    </w:p>
    <w:p w14:paraId="4A4E526B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The questions are now clear:</w:t>
      </w:r>
    </w:p>
    <w:p w14:paraId="39BCC1D7" w14:textId="77777777" w:rsidR="00EF60A4" w:rsidRPr="00B220D8" w:rsidRDefault="00EF60A4" w:rsidP="00EF60A4">
      <w:pPr>
        <w:pStyle w:val="VCAAbullet"/>
        <w:numPr>
          <w:ilvl w:val="0"/>
          <w:numId w:val="30"/>
        </w:numPr>
        <w:ind w:left="426" w:hanging="426"/>
      </w:pPr>
      <w:r w:rsidRPr="00B220D8">
        <w:t>Do the sales stabilise</w:t>
      </w:r>
      <w:r>
        <w:t>?</w:t>
      </w:r>
      <w:r w:rsidRPr="00B220D8">
        <w:t xml:space="preserve"> (</w:t>
      </w:r>
      <w:r>
        <w:t>t</w:t>
      </w:r>
      <w:r w:rsidRPr="00B220D8">
        <w:t xml:space="preserve">he answer for this one is: </w:t>
      </w:r>
      <w:r>
        <w:t>‘</w:t>
      </w:r>
      <w:r w:rsidRPr="00B220D8">
        <w:t>yes</w:t>
      </w:r>
      <w:r>
        <w:t>,</w:t>
      </w:r>
      <w:r w:rsidRPr="00B220D8">
        <w:t xml:space="preserve"> quickly’)</w:t>
      </w:r>
    </w:p>
    <w:p w14:paraId="19652F52" w14:textId="77777777" w:rsidR="00EF60A4" w:rsidRPr="00B220D8" w:rsidRDefault="00EF60A4" w:rsidP="00EF60A4">
      <w:pPr>
        <w:pStyle w:val="VCAAbullet"/>
        <w:numPr>
          <w:ilvl w:val="0"/>
          <w:numId w:val="30"/>
        </w:numPr>
        <w:ind w:left="426" w:hanging="426"/>
      </w:pPr>
      <w:r w:rsidRPr="00B220D8">
        <w:t>What are the stable sales for both</w:t>
      </w:r>
      <w:r>
        <w:t>?</w:t>
      </w:r>
    </w:p>
    <w:p w14:paraId="59D52AF0" w14:textId="77777777" w:rsidR="00EF60A4" w:rsidRPr="00B220D8" w:rsidRDefault="00EF60A4" w:rsidP="00EF60A4">
      <w:pPr>
        <w:pStyle w:val="VCAAbullet"/>
        <w:numPr>
          <w:ilvl w:val="0"/>
          <w:numId w:val="30"/>
        </w:numPr>
        <w:ind w:left="426" w:hanging="426"/>
      </w:pPr>
      <w:r w:rsidRPr="00B220D8">
        <w:t xml:space="preserve">How close do the sales of Curly come to the sales of </w:t>
      </w:r>
      <w:proofErr w:type="spellStart"/>
      <w:r w:rsidRPr="00B220D8">
        <w:t>Kryspy</w:t>
      </w:r>
      <w:proofErr w:type="spellEnd"/>
      <w:r w:rsidRPr="00B220D8">
        <w:t xml:space="preserve">? </w:t>
      </w:r>
    </w:p>
    <w:p w14:paraId="61DD2455" w14:textId="77777777" w:rsidR="00EF60A4" w:rsidRPr="00B220D8" w:rsidRDefault="00EF60A4" w:rsidP="00EF60A4">
      <w:pPr>
        <w:pStyle w:val="VCAAbullet"/>
        <w:numPr>
          <w:ilvl w:val="0"/>
          <w:numId w:val="30"/>
        </w:numPr>
        <w:ind w:left="426" w:hanging="426"/>
      </w:pPr>
      <w:r w:rsidRPr="00B220D8">
        <w:t>Adjust the coefficients to explore further for different scenarios. Can you get more or less equal sales?</w:t>
      </w:r>
    </w:p>
    <w:p w14:paraId="7BC7C756" w14:textId="77777777" w:rsidR="00EF60A4" w:rsidRPr="00B220D8" w:rsidRDefault="00EF60A4" w:rsidP="00EF60A4">
      <w:pPr>
        <w:pStyle w:val="VCAAbullet"/>
        <w:numPr>
          <w:ilvl w:val="0"/>
          <w:numId w:val="30"/>
        </w:numPr>
        <w:ind w:left="426" w:hanging="426"/>
      </w:pPr>
      <w:r w:rsidRPr="00B220D8">
        <w:t xml:space="preserve">Can you develop a rule for the </w:t>
      </w:r>
      <w:r w:rsidRPr="00B35D78">
        <w:rPr>
          <w:rFonts w:ascii="Times New Roman" w:hAnsi="Times New Roman" w:cs="Times New Roman"/>
          <w:i/>
        </w:rPr>
        <w:t>n</w:t>
      </w:r>
      <w:r w:rsidRPr="00B220D8">
        <w:rPr>
          <w:i/>
        </w:rPr>
        <w:t xml:space="preserve">th </w:t>
      </w:r>
      <w:r w:rsidRPr="00B220D8">
        <w:t>term?</w:t>
      </w:r>
    </w:p>
    <w:p w14:paraId="72FD7193" w14:textId="77777777" w:rsidR="00EF60A4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This is just an example.</w:t>
      </w:r>
    </w:p>
    <w:p w14:paraId="5B081605" w14:textId="77777777" w:rsidR="00EF60A4" w:rsidRPr="00EF60A4" w:rsidRDefault="00EF60A4" w:rsidP="00EF60A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AU"/>
        </w:rPr>
      </w:pPr>
      <w:r w:rsidRPr="00EF60A4">
        <w:rPr>
          <w:rFonts w:ascii="Arial" w:hAnsi="Arial" w:cs="Arial"/>
          <w:sz w:val="20"/>
          <w:szCs w:val="20"/>
          <w:lang w:val="en-AU"/>
        </w:rPr>
        <w:t>Try it with a population of eagles and mice and construct different scenarios.</w:t>
      </w:r>
    </w:p>
    <w:p w14:paraId="6041B76C" w14:textId="1240EB5B" w:rsidR="00EF60A4" w:rsidRDefault="00EF60A4" w:rsidP="00EF60A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AU"/>
        </w:rPr>
      </w:pPr>
      <w:r w:rsidRPr="00EF60A4">
        <w:rPr>
          <w:rFonts w:ascii="Arial" w:hAnsi="Arial" w:cs="Arial"/>
          <w:sz w:val="20"/>
          <w:szCs w:val="20"/>
          <w:lang w:val="en-AU"/>
        </w:rPr>
        <w:t>Try it with more firms and different conditions, that is with 3 or 4.</w:t>
      </w:r>
    </w:p>
    <w:p w14:paraId="6943096B" w14:textId="77777777" w:rsidR="00EF60A4" w:rsidRPr="00B220D8" w:rsidRDefault="00EF60A4" w:rsidP="00EF60A4">
      <w:pPr>
        <w:pStyle w:val="VCAAHeading3"/>
        <w:rPr>
          <w:lang w:val="en-AU"/>
        </w:rPr>
      </w:pPr>
      <w:r w:rsidRPr="00B220D8">
        <w:rPr>
          <w:lang w:val="en-AU"/>
        </w:rPr>
        <w:t>Conclusions</w:t>
      </w:r>
    </w:p>
    <w:p w14:paraId="1D4A6B50" w14:textId="77777777" w:rsidR="00EF60A4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 xml:space="preserve">Discuss your findings for a specific example and the variations you have tried. </w:t>
      </w:r>
    </w:p>
    <w:p w14:paraId="4B038BDE" w14:textId="77777777" w:rsidR="00EF60A4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 xml:space="preserve">Discuss different scenarios and other applications. </w:t>
      </w:r>
    </w:p>
    <w:p w14:paraId="62199924" w14:textId="77777777" w:rsidR="00EF60A4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 xml:space="preserve">Discuss what the weaknesses of your model are. </w:t>
      </w:r>
    </w:p>
    <w:p w14:paraId="0B14DD96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Discuss what could be done to improve your model.</w:t>
      </w:r>
    </w:p>
    <w:p w14:paraId="3A857F5C" w14:textId="77777777" w:rsidR="00EF60A4" w:rsidRPr="00B220D8" w:rsidRDefault="00EF60A4" w:rsidP="00EF60A4">
      <w:pPr>
        <w:pStyle w:val="VCAAbody"/>
        <w:rPr>
          <w:lang w:val="en-AU"/>
        </w:rPr>
      </w:pPr>
      <w:r w:rsidRPr="00B220D8">
        <w:rPr>
          <w:lang w:val="en-AU"/>
        </w:rPr>
        <w:t>Discuss other contexts in which these techniques may be used and suggest the recursion equations for these.</w:t>
      </w:r>
    </w:p>
    <w:p w14:paraId="2E73CB48" w14:textId="77777777" w:rsidR="00EF60A4" w:rsidRPr="00C70415" w:rsidRDefault="00EF60A4" w:rsidP="00EF60A4">
      <w:pPr>
        <w:pStyle w:val="VCAAHeading3"/>
      </w:pPr>
      <w:r w:rsidRPr="00C70415">
        <w:lastRenderedPageBreak/>
        <w:t>Areas of study</w:t>
      </w:r>
    </w:p>
    <w:p w14:paraId="2B4A6159" w14:textId="75EAE38C" w:rsidR="00EF60A4" w:rsidRDefault="00EF60A4" w:rsidP="00EF60A4">
      <w:pPr>
        <w:pStyle w:val="VCAAbody"/>
        <w:spacing w:after="240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F60A4" w:rsidRPr="00FA2380" w14:paraId="4EEE6398" w14:textId="77777777" w:rsidTr="004D4452">
        <w:tc>
          <w:tcPr>
            <w:tcW w:w="3209" w:type="dxa"/>
            <w:shd w:val="clear" w:color="auto" w:fill="0F7EB4"/>
          </w:tcPr>
          <w:p w14:paraId="71326AE1" w14:textId="77777777" w:rsidR="00EF60A4" w:rsidRPr="00744BC4" w:rsidRDefault="00EF60A4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363B3CF0" w14:textId="77777777" w:rsidR="00EF60A4" w:rsidRPr="00744BC4" w:rsidRDefault="00EF60A4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199D9F21" w14:textId="77777777" w:rsidR="00EF60A4" w:rsidRPr="00744BC4" w:rsidRDefault="00EF60A4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Content dot point</w:t>
            </w:r>
          </w:p>
        </w:tc>
      </w:tr>
      <w:tr w:rsidR="00EF60A4" w14:paraId="4088C9DE" w14:textId="77777777" w:rsidTr="004D4452">
        <w:tc>
          <w:tcPr>
            <w:tcW w:w="3209" w:type="dxa"/>
          </w:tcPr>
          <w:p w14:paraId="2A6F974F" w14:textId="63DCF0F5" w:rsidR="00EF60A4" w:rsidRDefault="00EF60A4" w:rsidP="00EF60A4">
            <w:pPr>
              <w:pStyle w:val="VCAAtablecondensed"/>
            </w:pPr>
            <w:r>
              <w:t>Discrete mathematics</w:t>
            </w:r>
          </w:p>
        </w:tc>
        <w:tc>
          <w:tcPr>
            <w:tcW w:w="3210" w:type="dxa"/>
          </w:tcPr>
          <w:p w14:paraId="160C8A6B" w14:textId="6F30D960" w:rsidR="00EF60A4" w:rsidRDefault="00EF60A4" w:rsidP="00EF60A4">
            <w:pPr>
              <w:pStyle w:val="VCAAtablecondensed"/>
            </w:pPr>
            <w:r>
              <w:t>Sequences and series</w:t>
            </w:r>
          </w:p>
        </w:tc>
        <w:tc>
          <w:tcPr>
            <w:tcW w:w="3210" w:type="dxa"/>
          </w:tcPr>
          <w:p w14:paraId="7A26E0BE" w14:textId="49BCE395" w:rsidR="00EF60A4" w:rsidRDefault="00EF60A4" w:rsidP="00EF60A4">
            <w:pPr>
              <w:pStyle w:val="VCAAtablecondensed"/>
            </w:pPr>
            <w:r>
              <w:t>3, 4</w:t>
            </w:r>
          </w:p>
        </w:tc>
      </w:tr>
    </w:tbl>
    <w:p w14:paraId="7E0761E9" w14:textId="77777777" w:rsidR="00EF60A4" w:rsidRPr="00C70415" w:rsidRDefault="00EF60A4" w:rsidP="00EF60A4">
      <w:pPr>
        <w:pStyle w:val="VCAAHeading3"/>
      </w:pPr>
      <w:r w:rsidRPr="00C70415">
        <w:t>Outcomes</w:t>
      </w:r>
    </w:p>
    <w:p w14:paraId="7C44157C" w14:textId="6E7397DA" w:rsidR="00EF60A4" w:rsidRDefault="00EF60A4" w:rsidP="00EF60A4">
      <w:pPr>
        <w:pStyle w:val="VCAAbody"/>
        <w:spacing w:after="240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F60A4" w:rsidRPr="00FA2380" w14:paraId="2B1E731E" w14:textId="77777777" w:rsidTr="004D4452">
        <w:tc>
          <w:tcPr>
            <w:tcW w:w="3209" w:type="dxa"/>
            <w:shd w:val="clear" w:color="auto" w:fill="0F7EB4"/>
          </w:tcPr>
          <w:p w14:paraId="364CF086" w14:textId="77777777" w:rsidR="00EF60A4" w:rsidRPr="00FA2380" w:rsidRDefault="00EF60A4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40B424D0" w14:textId="77777777" w:rsidR="00EF60A4" w:rsidRPr="00FA2380" w:rsidRDefault="00EF60A4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59F51B20" w14:textId="77777777" w:rsidR="00EF60A4" w:rsidRPr="00FA2380" w:rsidRDefault="00EF60A4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EF60A4" w14:paraId="101E2036" w14:textId="77777777" w:rsidTr="004D4452">
        <w:tc>
          <w:tcPr>
            <w:tcW w:w="3209" w:type="dxa"/>
          </w:tcPr>
          <w:p w14:paraId="4A330D3B" w14:textId="2C676F64" w:rsidR="00EF60A4" w:rsidRDefault="00EF60A4" w:rsidP="00EF60A4">
            <w:pPr>
              <w:pStyle w:val="VCAAtablecondensed"/>
            </w:pPr>
            <w:r w:rsidRPr="00BB5ABE">
              <w:rPr>
                <w:b/>
              </w:rPr>
              <w:t>1</w:t>
            </w:r>
          </w:p>
        </w:tc>
        <w:tc>
          <w:tcPr>
            <w:tcW w:w="3210" w:type="dxa"/>
          </w:tcPr>
          <w:p w14:paraId="238F6747" w14:textId="1CF59825" w:rsidR="00EF60A4" w:rsidRDefault="00EF60A4" w:rsidP="00EF60A4">
            <w:pPr>
              <w:pStyle w:val="VCAAtablecondensed"/>
            </w:pPr>
            <w:r>
              <w:t>4, 14, 15, 16</w:t>
            </w:r>
          </w:p>
        </w:tc>
        <w:tc>
          <w:tcPr>
            <w:tcW w:w="3210" w:type="dxa"/>
          </w:tcPr>
          <w:p w14:paraId="4F79D646" w14:textId="2049B66B" w:rsidR="00EF60A4" w:rsidRDefault="00EF60A4" w:rsidP="00EF60A4">
            <w:pPr>
              <w:pStyle w:val="VCAAtablecondensed"/>
            </w:pPr>
            <w:r>
              <w:t>4, 14</w:t>
            </w:r>
          </w:p>
        </w:tc>
      </w:tr>
      <w:tr w:rsidR="00EF60A4" w14:paraId="6E5022C5" w14:textId="77777777" w:rsidTr="004D4452">
        <w:tc>
          <w:tcPr>
            <w:tcW w:w="3209" w:type="dxa"/>
          </w:tcPr>
          <w:p w14:paraId="6EC676DB" w14:textId="48CB4B20" w:rsidR="00EF60A4" w:rsidRDefault="00EF60A4" w:rsidP="00EF60A4">
            <w:pPr>
              <w:pStyle w:val="VCAAtablecondensed"/>
            </w:pPr>
            <w:r w:rsidRPr="00BB5ABE">
              <w:rPr>
                <w:b/>
              </w:rPr>
              <w:t>2</w:t>
            </w:r>
          </w:p>
        </w:tc>
        <w:tc>
          <w:tcPr>
            <w:tcW w:w="3210" w:type="dxa"/>
          </w:tcPr>
          <w:p w14:paraId="4ECA9516" w14:textId="42BA72A0" w:rsidR="00EF60A4" w:rsidRDefault="00EF60A4" w:rsidP="00EF60A4">
            <w:pPr>
              <w:pStyle w:val="VCAAtablecondensed"/>
            </w:pPr>
            <w:r w:rsidRPr="00BB5ABE">
              <w:t>1, 2, 3, 4</w:t>
            </w:r>
          </w:p>
        </w:tc>
        <w:tc>
          <w:tcPr>
            <w:tcW w:w="3210" w:type="dxa"/>
          </w:tcPr>
          <w:p w14:paraId="4CC64BA0" w14:textId="0818B6E8" w:rsidR="00EF60A4" w:rsidRDefault="00EF60A4" w:rsidP="00EF60A4">
            <w:pPr>
              <w:pStyle w:val="VCAAtablecondensed"/>
            </w:pPr>
            <w:r w:rsidRPr="00BB5ABE">
              <w:t>1, 2, 3 ,4, 5</w:t>
            </w:r>
          </w:p>
        </w:tc>
      </w:tr>
      <w:tr w:rsidR="00EF60A4" w14:paraId="4E8D1819" w14:textId="77777777" w:rsidTr="004D4452">
        <w:tc>
          <w:tcPr>
            <w:tcW w:w="3209" w:type="dxa"/>
          </w:tcPr>
          <w:p w14:paraId="1352E41E" w14:textId="4CB80219" w:rsidR="00EF60A4" w:rsidRDefault="00EF60A4" w:rsidP="00EF60A4">
            <w:pPr>
              <w:pStyle w:val="VCAAtablecondensed"/>
            </w:pPr>
            <w:r w:rsidRPr="00BB5ABE">
              <w:rPr>
                <w:b/>
              </w:rPr>
              <w:t>3</w:t>
            </w:r>
          </w:p>
        </w:tc>
        <w:tc>
          <w:tcPr>
            <w:tcW w:w="3210" w:type="dxa"/>
          </w:tcPr>
          <w:p w14:paraId="6E0612CF" w14:textId="7A1720C6" w:rsidR="00EF60A4" w:rsidRDefault="00EF60A4" w:rsidP="00EF60A4">
            <w:pPr>
              <w:pStyle w:val="VCAAtablecondensed"/>
            </w:pPr>
            <w:r w:rsidRPr="00BB5ABE">
              <w:t>1, 2, 3, 4</w:t>
            </w:r>
            <w:r>
              <w:t>, 5, 6</w:t>
            </w:r>
          </w:p>
        </w:tc>
        <w:tc>
          <w:tcPr>
            <w:tcW w:w="3210" w:type="dxa"/>
          </w:tcPr>
          <w:p w14:paraId="7A0C8D13" w14:textId="1E865EA7" w:rsidR="00EF60A4" w:rsidRDefault="00EF60A4" w:rsidP="00EF60A4">
            <w:pPr>
              <w:pStyle w:val="VCAAtablecondensed"/>
            </w:pPr>
            <w:r>
              <w:t xml:space="preserve">1, </w:t>
            </w:r>
            <w:r w:rsidRPr="00BB5ABE">
              <w:t>2, 3, 5</w:t>
            </w:r>
            <w:r>
              <w:t>, 7, 10, 11, 12</w:t>
            </w:r>
          </w:p>
        </w:tc>
      </w:tr>
    </w:tbl>
    <w:p w14:paraId="63958665" w14:textId="7A51C8CC" w:rsidR="00EF60A4" w:rsidRDefault="00EF60A4" w:rsidP="00EF60A4">
      <w:pPr>
        <w:pStyle w:val="VCAAbody"/>
      </w:pPr>
    </w:p>
    <w:sectPr w:rsidR="00EF60A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54D44F1" w:rsidR="00FD29D3" w:rsidRPr="00D86DE4" w:rsidRDefault="00B35D7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3080">
          <w:rPr>
            <w:color w:val="999999" w:themeColor="accent2"/>
          </w:rPr>
          <w:t>VCE Specialist Mathematics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BB"/>
    <w:multiLevelType w:val="hybridMultilevel"/>
    <w:tmpl w:val="D62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5440C9"/>
    <w:multiLevelType w:val="hybridMultilevel"/>
    <w:tmpl w:val="51CEE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2E6A"/>
    <w:multiLevelType w:val="hybridMultilevel"/>
    <w:tmpl w:val="BD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7"/>
  </w:num>
  <w:num w:numId="5">
    <w:abstractNumId w:val="17"/>
  </w:num>
  <w:num w:numId="6">
    <w:abstractNumId w:val="27"/>
  </w:num>
  <w:num w:numId="7">
    <w:abstractNumId w:val="3"/>
  </w:num>
  <w:num w:numId="8">
    <w:abstractNumId w:val="23"/>
  </w:num>
  <w:num w:numId="9">
    <w:abstractNumId w:val="1"/>
  </w:num>
  <w:num w:numId="10">
    <w:abstractNumId w:val="26"/>
  </w:num>
  <w:num w:numId="11">
    <w:abstractNumId w:val="22"/>
  </w:num>
  <w:num w:numId="12">
    <w:abstractNumId w:val="2"/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1"/>
  </w:num>
  <w:num w:numId="23">
    <w:abstractNumId w:val="5"/>
  </w:num>
  <w:num w:numId="24">
    <w:abstractNumId w:val="4"/>
  </w:num>
  <w:num w:numId="25">
    <w:abstractNumId w:val="12"/>
  </w:num>
  <w:num w:numId="26">
    <w:abstractNumId w:val="13"/>
  </w:num>
  <w:num w:numId="27">
    <w:abstractNumId w:val="25"/>
  </w:num>
  <w:num w:numId="28">
    <w:abstractNumId w:val="28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44BC4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35D78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EB39B8"/>
    <w:rsid w:val="00EC1E10"/>
    <w:rsid w:val="00EF60A4"/>
    <w:rsid w:val="00F17FDE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82B559-A2C5-484B-B812-27F92061DF35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 1</vt:lpstr>
    </vt:vector>
  </TitlesOfParts>
  <Company>Victorian Curriculum and Assessment Authority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 1</dc:title>
  <dc:subject>VCE Specialist Mathematics</dc:subject>
  <dc:creator>vcaa@education.vic.gov.au</dc:creator>
  <cp:keywords>mathematics, specialist, VCE, investigation, linear, recurrence, relations</cp:keywords>
  <cp:lastModifiedBy>Julie Coleman</cp:lastModifiedBy>
  <cp:revision>5</cp:revision>
  <cp:lastPrinted>2015-05-15T02:36:00Z</cp:lastPrinted>
  <dcterms:created xsi:type="dcterms:W3CDTF">2022-12-14T01:52:00Z</dcterms:created>
  <dcterms:modified xsi:type="dcterms:W3CDTF">2023-01-23T04:42:00Z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