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2C11B71" w:rsidR="00F4525C" w:rsidRDefault="00242AC0" w:rsidP="00F6758B">
      <w:pPr>
        <w:pStyle w:val="VCAAHeading1"/>
        <w:spacing w:before="0"/>
      </w:pPr>
      <w:r>
        <w:t xml:space="preserve">VCE </w:t>
      </w:r>
      <w:r w:rsidR="00D224CC">
        <w:t xml:space="preserve">Music </w:t>
      </w:r>
      <w:r w:rsidR="000B5757">
        <w:t>Inquiry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0B02FF5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FF2032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INQUIRY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FF2032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0F3CBC1B" w:rsidR="00FF2032" w:rsidRPr="00AD0EC2" w:rsidRDefault="00FF2032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nit </w:t>
            </w:r>
            <w:r w:rsidR="00EB103D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72AB099D" w14:textId="3A59AC5D" w:rsidR="00FF2032" w:rsidRPr="00AD0EC2" w:rsidRDefault="00FF2032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F6758B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69CB709" w14:textId="2F31398F" w:rsidR="00FF2032" w:rsidRPr="00EB103D" w:rsidRDefault="00EB103D" w:rsidP="002B33CE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EB103D">
              <w:rPr>
                <w:b/>
                <w:bCs/>
                <w:i/>
                <w:iCs/>
                <w:szCs w:val="20"/>
              </w:rPr>
              <w:t>Identify, describe and discuss  musical characteristics of selected music excerpts and compare similarities and differences</w:t>
            </w:r>
            <w:r w:rsidRPr="00EB103D">
              <w:rPr>
                <w:rFonts w:cstheme="minorHAnsi"/>
                <w:b/>
                <w:bCs/>
                <w:i/>
                <w:iCs/>
                <w:szCs w:val="20"/>
                <w:lang w:val="en-AU"/>
              </w:rPr>
              <w:t xml:space="preserve"> between them.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F2032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FF2032" w:rsidRPr="00AC3EE8" w:rsidRDefault="00FF2032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EB103D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EB103D" w:rsidRPr="00AC3EE8" w:rsidRDefault="00EB103D" w:rsidP="00EB103D"/>
        </w:tc>
        <w:tc>
          <w:tcPr>
            <w:tcW w:w="2466" w:type="dxa"/>
          </w:tcPr>
          <w:p w14:paraId="605EC246" w14:textId="2D376BE3" w:rsidR="00EB103D" w:rsidRPr="00EB103D" w:rsidRDefault="00EB103D" w:rsidP="00EB103D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Responds with some relevant words</w:t>
            </w:r>
          </w:p>
        </w:tc>
        <w:tc>
          <w:tcPr>
            <w:tcW w:w="2466" w:type="dxa"/>
          </w:tcPr>
          <w:p w14:paraId="2E4FF0C7" w14:textId="2E1F8753" w:rsidR="00EB103D" w:rsidRPr="00EB103D" w:rsidRDefault="00EB103D" w:rsidP="00EB103D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Identifies some elements, concepts and/or compositional devices when responding</w:t>
            </w:r>
          </w:p>
        </w:tc>
        <w:tc>
          <w:tcPr>
            <w:tcW w:w="2467" w:type="dxa"/>
          </w:tcPr>
          <w:p w14:paraId="4BD4CF52" w14:textId="66D0320B" w:rsidR="00EB103D" w:rsidRPr="00EB103D" w:rsidRDefault="00EB103D" w:rsidP="00EB103D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 xml:space="preserve">Identifies elements, concepts and/or devices relevant to the question. </w:t>
            </w:r>
          </w:p>
        </w:tc>
        <w:tc>
          <w:tcPr>
            <w:tcW w:w="2466" w:type="dxa"/>
          </w:tcPr>
          <w:p w14:paraId="3E224C23" w14:textId="563B7F6B" w:rsidR="00EB103D" w:rsidRPr="00EB103D" w:rsidRDefault="00EB103D" w:rsidP="00EB103D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Identifies, describes and explains the use of elements, concepts, and/or devices (as relevant to the question) using appropriate music terminology and language using some objective information to substantiate the response.</w:t>
            </w:r>
          </w:p>
        </w:tc>
        <w:tc>
          <w:tcPr>
            <w:tcW w:w="2467" w:type="dxa"/>
          </w:tcPr>
          <w:p w14:paraId="44CFC244" w14:textId="204D0D0F" w:rsidR="00EB103D" w:rsidRPr="00EB103D" w:rsidRDefault="00EB103D" w:rsidP="00EB103D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EB103D">
              <w:rPr>
                <w:sz w:val="18"/>
                <w:szCs w:val="18"/>
              </w:rPr>
              <w:t>Uses appropriate music terminology and language to Identify, describe and explain (as relevant to the question) how elements, concepts and/or devices contribute to the development of the work  and substantiates the responses with objective and analytical information</w:t>
            </w:r>
          </w:p>
        </w:tc>
      </w:tr>
      <w:tr w:rsidR="00EB103D" w:rsidRPr="00AC3EE8" w14:paraId="5BC236E6" w14:textId="77777777" w:rsidTr="00241C58">
        <w:tc>
          <w:tcPr>
            <w:tcW w:w="2689" w:type="dxa"/>
            <w:vMerge/>
            <w:vAlign w:val="center"/>
          </w:tcPr>
          <w:p w14:paraId="25A5EA2B" w14:textId="77777777" w:rsidR="00EB103D" w:rsidRPr="00AC3EE8" w:rsidRDefault="00EB103D" w:rsidP="00EB103D"/>
        </w:tc>
        <w:tc>
          <w:tcPr>
            <w:tcW w:w="2466" w:type="dxa"/>
          </w:tcPr>
          <w:p w14:paraId="691534CE" w14:textId="1CB33177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Responds with some relevant words</w:t>
            </w:r>
          </w:p>
        </w:tc>
        <w:tc>
          <w:tcPr>
            <w:tcW w:w="2466" w:type="dxa"/>
          </w:tcPr>
          <w:p w14:paraId="6D97C416" w14:textId="641C4695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Links some elements or devices to style and character.</w:t>
            </w:r>
          </w:p>
        </w:tc>
        <w:tc>
          <w:tcPr>
            <w:tcW w:w="2467" w:type="dxa"/>
          </w:tcPr>
          <w:p w14:paraId="724A667E" w14:textId="66D284DF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Describes in general terms how elements, concepts and/or devices contribute to style and character</w:t>
            </w:r>
          </w:p>
        </w:tc>
        <w:tc>
          <w:tcPr>
            <w:tcW w:w="2466" w:type="dxa"/>
          </w:tcPr>
          <w:p w14:paraId="2B4ADC32" w14:textId="7EC5D2DA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 xml:space="preserve">Uses appropriate language to explain how elements, concepts and/or devices contribute to style and/or character in a work, using some objective information to substantiate the response. </w:t>
            </w:r>
          </w:p>
        </w:tc>
        <w:tc>
          <w:tcPr>
            <w:tcW w:w="2467" w:type="dxa"/>
          </w:tcPr>
          <w:p w14:paraId="71EE3DB5" w14:textId="03ED0D31" w:rsidR="00EB103D" w:rsidRPr="00EB103D" w:rsidRDefault="00EB103D" w:rsidP="00EB103D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EB103D">
              <w:rPr>
                <w:sz w:val="18"/>
                <w:szCs w:val="18"/>
              </w:rPr>
              <w:t>Uses appropriate music terminology to explain how elements, concepts and/or devices contribute to a work or excerpt’s style and character, and substantiates critical responses with objective information</w:t>
            </w:r>
          </w:p>
        </w:tc>
      </w:tr>
      <w:tr w:rsidR="00EB103D" w:rsidRPr="00AC3EE8" w14:paraId="56A4D18B" w14:textId="77777777" w:rsidTr="00241C58">
        <w:tc>
          <w:tcPr>
            <w:tcW w:w="2689" w:type="dxa"/>
            <w:vMerge/>
            <w:vAlign w:val="center"/>
          </w:tcPr>
          <w:p w14:paraId="596FC4DB" w14:textId="77777777" w:rsidR="00EB103D" w:rsidRPr="00AC3EE8" w:rsidRDefault="00EB103D" w:rsidP="00EB103D"/>
        </w:tc>
        <w:tc>
          <w:tcPr>
            <w:tcW w:w="2466" w:type="dxa"/>
          </w:tcPr>
          <w:p w14:paraId="2FDFD9B4" w14:textId="32CB6B38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 xml:space="preserve">Identifies minimal differences/similarities between musical approaches </w:t>
            </w:r>
          </w:p>
        </w:tc>
        <w:tc>
          <w:tcPr>
            <w:tcW w:w="2466" w:type="dxa"/>
          </w:tcPr>
          <w:p w14:paraId="39AFA78E" w14:textId="7DDAC410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 xml:space="preserve">Identifies some differences/similarities between musical approaches </w:t>
            </w:r>
          </w:p>
        </w:tc>
        <w:tc>
          <w:tcPr>
            <w:tcW w:w="2467" w:type="dxa"/>
          </w:tcPr>
          <w:p w14:paraId="22BBD245" w14:textId="45E8984E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Identifies some similarities and/or differences between musical approaches using some appropriate terminology and language.</w:t>
            </w:r>
          </w:p>
        </w:tc>
        <w:tc>
          <w:tcPr>
            <w:tcW w:w="2466" w:type="dxa"/>
          </w:tcPr>
          <w:p w14:paraId="1A7E792F" w14:textId="1A2EB716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 xml:space="preserve">Responds to questions about similarities/differences between musical approaches using appropriate terminology and language and describing them. </w:t>
            </w:r>
          </w:p>
        </w:tc>
        <w:tc>
          <w:tcPr>
            <w:tcW w:w="2467" w:type="dxa"/>
          </w:tcPr>
          <w:p w14:paraId="00FBCAEF" w14:textId="63A289FF" w:rsidR="00EB103D" w:rsidRPr="00EB103D" w:rsidRDefault="00EB103D" w:rsidP="00EB103D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EB103D">
              <w:rPr>
                <w:rFonts w:ascii="Arial Narrow" w:hAnsi="Arial Narrow"/>
                <w:sz w:val="18"/>
                <w:szCs w:val="18"/>
              </w:rPr>
              <w:t>Recognises similarities and differences between musical approaches and their significance using music terminology and language in description or discussion</w:t>
            </w:r>
          </w:p>
        </w:tc>
      </w:tr>
    </w:tbl>
    <w:p w14:paraId="323A6DC7" w14:textId="3C4DD06F" w:rsidR="00850356" w:rsidRDefault="00850356" w:rsidP="00F6758B">
      <w:pPr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 w:rsidR="00F6758B">
        <w:rPr>
          <w:rFonts w:ascii="Arial Narrow" w:hAnsi="Arial Narrow" w:cs="Arial"/>
          <w:sz w:val="20"/>
          <w:szCs w:val="20"/>
        </w:rPr>
        <w:t>15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65F5C09E" w:rsidR="00D224CC" w:rsidRPr="002B5055" w:rsidRDefault="00D224CC" w:rsidP="00F6758B">
      <w:pPr>
        <w:spacing w:before="120" w:after="60" w:line="240" w:lineRule="auto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Task:</w:t>
      </w:r>
      <w:r w:rsidR="00821099" w:rsidRPr="002B5055">
        <w:rPr>
          <w:rFonts w:ascii="Arial Narrow" w:hAnsi="Arial Narrow" w:cs="Arial"/>
          <w:sz w:val="20"/>
          <w:szCs w:val="20"/>
        </w:rPr>
        <w:t xml:space="preserve"> </w:t>
      </w:r>
      <w:r w:rsidR="00F6758B" w:rsidRPr="00A878A3">
        <w:rPr>
          <w:rFonts w:ascii="Arial Narrow" w:hAnsi="Arial Narrow" w:cs="Arial"/>
          <w:sz w:val="20"/>
          <w:szCs w:val="20"/>
        </w:rPr>
        <w:t>Responses to structured questions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B601E5" w:rsidRPr="00850356" w14:paraId="0F440B5A" w14:textId="77777777" w:rsidTr="00850356">
        <w:tc>
          <w:tcPr>
            <w:tcW w:w="2063" w:type="dxa"/>
            <w:vAlign w:val="center"/>
          </w:tcPr>
          <w:p w14:paraId="0692279D" w14:textId="354007D6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B103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0066DFB" w14:textId="6CBBF750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EB103D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B103D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01B5F5A7" w14:textId="7B44B989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EB103D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B103D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63" w:type="dxa"/>
            <w:vAlign w:val="center"/>
          </w:tcPr>
          <w:p w14:paraId="3C9DB560" w14:textId="7FE3D92C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EB103D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–12</w:t>
            </w:r>
          </w:p>
        </w:tc>
        <w:tc>
          <w:tcPr>
            <w:tcW w:w="2065" w:type="dxa"/>
          </w:tcPr>
          <w:p w14:paraId="0943F614" w14:textId="6C22B823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13–15</w:t>
            </w:r>
          </w:p>
        </w:tc>
      </w:tr>
    </w:tbl>
    <w:p w14:paraId="5360228C" w14:textId="77777777" w:rsidR="00AD0EC2" w:rsidRPr="00F6758B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F6758B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56888679" w:rsidR="00CE691B" w:rsidRPr="00D86DE4" w:rsidRDefault="00EB103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 xml:space="preserve">VCE Music </w:t>
        </w:r>
        <w:r w:rsidR="009201E8">
          <w:rPr>
            <w:color w:val="999999" w:themeColor="accent2"/>
          </w:rPr>
          <w:t>Inquiry</w:t>
        </w:r>
        <w:r w:rsidR="002B0516">
          <w:rPr>
            <w:color w:val="999999" w:themeColor="accent2"/>
          </w:rPr>
          <w:t>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C44ED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33CE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41B6C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201E8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01E5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B103D"/>
    <w:rsid w:val="00F17FDE"/>
    <w:rsid w:val="00F40D53"/>
    <w:rsid w:val="00F4525C"/>
    <w:rsid w:val="00F50D86"/>
    <w:rsid w:val="00F6758B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1aab662d-a6b2-42d6-996b-a574723d1ad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Inquiry: Performance descriptors</vt:lpstr>
    </vt:vector>
  </TitlesOfParts>
  <Company>Victorian Curriculum and Assessment Authority</Company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Inquiry: Performance descriptors</dc:title>
  <dc:subject>VCE Music Composition</dc:subject>
  <dc:creator>vcaa@education.vic.gov.au</dc:creator>
  <cp:keywords>music, inquiry, performance descriptors, Unit 4, Outcome 3</cp:keywords>
  <cp:lastModifiedBy>Julie Coleman</cp:lastModifiedBy>
  <cp:revision>2</cp:revision>
  <cp:lastPrinted>2015-05-15T02:36:00Z</cp:lastPrinted>
  <dcterms:created xsi:type="dcterms:W3CDTF">2023-05-29T23:56:00Z</dcterms:created>
  <dcterms:modified xsi:type="dcterms:W3CDTF">2023-05-29T23:56:00Z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