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9EC0B23" w:rsidR="00F4525C" w:rsidRDefault="007810AD" w:rsidP="007810AD">
      <w:pPr>
        <w:pStyle w:val="VCAADocumenttitle"/>
        <w:spacing w:before="0" w:after="120"/>
      </w:pPr>
      <w:r>
        <w:t>VCE Politics</w:t>
      </w:r>
    </w:p>
    <w:p w14:paraId="50646837" w14:textId="1D9A0C89" w:rsidR="002754C1" w:rsidRPr="002754C1" w:rsidRDefault="007810AD" w:rsidP="00971698">
      <w:pPr>
        <w:pStyle w:val="VCAAHeading3"/>
        <w:spacing w:before="120" w:after="240"/>
      </w:pPr>
      <w:bookmarkStart w:id="0" w:name="TemplateOverview"/>
      <w:bookmarkEnd w:id="0"/>
      <w:r>
        <w:t xml:space="preserve">Unit </w:t>
      </w:r>
      <w:r w:rsidR="00971698">
        <w:t>4</w:t>
      </w:r>
      <w:r>
        <w:t xml:space="preserve"> Area of Study 2: </w:t>
      </w:r>
      <w:r w:rsidR="00971698">
        <w:t>Group research task – summary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4"/>
        <w:gridCol w:w="3449"/>
        <w:gridCol w:w="1639"/>
        <w:gridCol w:w="1639"/>
        <w:gridCol w:w="1639"/>
        <w:gridCol w:w="1639"/>
        <w:gridCol w:w="1639"/>
        <w:gridCol w:w="1639"/>
        <w:gridCol w:w="1629"/>
      </w:tblGrid>
      <w:tr w:rsidR="00971698" w:rsidRPr="00971698" w14:paraId="5072FD18" w14:textId="77777777" w:rsidTr="00971698">
        <w:trPr>
          <w:trHeight w:val="1291"/>
        </w:trPr>
        <w:tc>
          <w:tcPr>
            <w:tcW w:w="250" w:type="pct"/>
            <w:vMerge w:val="restart"/>
            <w:shd w:val="clear" w:color="auto" w:fill="0F7EB4"/>
            <w:textDirection w:val="btLr"/>
          </w:tcPr>
          <w:p w14:paraId="0B8BB878" w14:textId="77777777" w:rsidR="00971698" w:rsidRPr="00971698" w:rsidRDefault="00971698" w:rsidP="007406BA">
            <w:pPr>
              <w:pStyle w:val="VCAAtablecondensed"/>
              <w:spacing w:line="240" w:lineRule="auto"/>
              <w:ind w:left="113" w:right="113"/>
              <w:rPr>
                <w:b/>
                <w:bCs/>
                <w:color w:val="FFFFFF" w:themeColor="background1"/>
                <w:szCs w:val="20"/>
                <w:lang w:val="en-AU"/>
              </w:rPr>
            </w:pP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Australia’s actions or inactions in the Indo-Pacific region</w:t>
            </w:r>
          </w:p>
        </w:tc>
        <w:tc>
          <w:tcPr>
            <w:tcW w:w="1099" w:type="pct"/>
            <w:shd w:val="clear" w:color="auto" w:fill="0F7EB4"/>
          </w:tcPr>
          <w:p w14:paraId="0A309589" w14:textId="77777777" w:rsidR="00971698" w:rsidRPr="00971698" w:rsidRDefault="00971698" w:rsidP="007406BA">
            <w:pPr>
              <w:pStyle w:val="VCAAtablecondensed"/>
              <w:jc w:val="center"/>
              <w:rPr>
                <w:b/>
                <w:bCs/>
                <w:color w:val="FFFFFF" w:themeColor="background1"/>
                <w:szCs w:val="20"/>
                <w:lang w:val="en-AU"/>
              </w:rPr>
            </w:pP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DESCRIPTION including types of power and use of foreign policy instruments</w:t>
            </w:r>
          </w:p>
        </w:tc>
        <w:tc>
          <w:tcPr>
            <w:tcW w:w="522" w:type="pct"/>
            <w:shd w:val="clear" w:color="auto" w:fill="0F7EB4"/>
          </w:tcPr>
          <w:p w14:paraId="04E55641" w14:textId="176C1E5F" w:rsidR="00971698" w:rsidRPr="00971698" w:rsidRDefault="00971698" w:rsidP="007406BA">
            <w:pPr>
              <w:pStyle w:val="VCAAtablecondensed"/>
              <w:jc w:val="center"/>
              <w:rPr>
                <w:b/>
                <w:bCs/>
                <w:color w:val="FFFFFF" w:themeColor="background1"/>
                <w:szCs w:val="20"/>
                <w:lang w:val="en-AU"/>
              </w:rPr>
            </w:pP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Causes of the action</w:t>
            </w:r>
            <w:r>
              <w:rPr>
                <w:b/>
                <w:bCs/>
                <w:color w:val="FFFFFF" w:themeColor="background1"/>
                <w:szCs w:val="20"/>
                <w:lang w:val="en-AU"/>
              </w:rPr>
              <w:t xml:space="preserve"> </w:t>
            </w: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/</w:t>
            </w:r>
            <w:r>
              <w:rPr>
                <w:b/>
                <w:bCs/>
                <w:color w:val="FFFFFF" w:themeColor="background1"/>
                <w:szCs w:val="20"/>
                <w:lang w:val="en-AU"/>
              </w:rPr>
              <w:t xml:space="preserve"> </w:t>
            </w: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inaction</w:t>
            </w:r>
          </w:p>
        </w:tc>
        <w:tc>
          <w:tcPr>
            <w:tcW w:w="522" w:type="pct"/>
            <w:shd w:val="clear" w:color="auto" w:fill="0F7EB4"/>
          </w:tcPr>
          <w:p w14:paraId="6D2AB8E7" w14:textId="77777777" w:rsidR="00971698" w:rsidRPr="00971698" w:rsidRDefault="00971698" w:rsidP="007406BA">
            <w:pPr>
              <w:pStyle w:val="VCAAtablecondensed"/>
              <w:jc w:val="center"/>
              <w:rPr>
                <w:b/>
                <w:bCs/>
                <w:color w:val="FFFFFF" w:themeColor="background1"/>
                <w:szCs w:val="20"/>
                <w:lang w:val="en-AU"/>
              </w:rPr>
            </w:pP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Links to Australia’s national interests</w:t>
            </w:r>
          </w:p>
        </w:tc>
        <w:tc>
          <w:tcPr>
            <w:tcW w:w="522" w:type="pct"/>
            <w:shd w:val="clear" w:color="auto" w:fill="0F7EB4"/>
          </w:tcPr>
          <w:p w14:paraId="1B046617" w14:textId="77777777" w:rsidR="00971698" w:rsidRPr="00971698" w:rsidRDefault="00971698" w:rsidP="007406BA">
            <w:pPr>
              <w:pStyle w:val="VCAAtablecondensed"/>
              <w:jc w:val="center"/>
              <w:rPr>
                <w:b/>
                <w:bCs/>
                <w:color w:val="FFFFFF" w:themeColor="background1"/>
                <w:szCs w:val="20"/>
                <w:lang w:val="en-AU"/>
              </w:rPr>
            </w:pP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Internal perspectives on the action</w:t>
            </w:r>
          </w:p>
        </w:tc>
        <w:tc>
          <w:tcPr>
            <w:tcW w:w="522" w:type="pct"/>
            <w:shd w:val="clear" w:color="auto" w:fill="0F7EB4"/>
          </w:tcPr>
          <w:p w14:paraId="12CD30B0" w14:textId="77777777" w:rsidR="00971698" w:rsidRPr="00971698" w:rsidRDefault="00971698" w:rsidP="007406BA">
            <w:pPr>
              <w:pStyle w:val="VCAAtablecondensed"/>
              <w:jc w:val="center"/>
              <w:rPr>
                <w:b/>
                <w:bCs/>
                <w:color w:val="FFFFFF" w:themeColor="background1"/>
                <w:szCs w:val="20"/>
                <w:lang w:val="en-AU"/>
              </w:rPr>
            </w:pP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External perspectives on the action</w:t>
            </w:r>
          </w:p>
        </w:tc>
        <w:tc>
          <w:tcPr>
            <w:tcW w:w="522" w:type="pct"/>
            <w:shd w:val="clear" w:color="auto" w:fill="0F7EB4"/>
          </w:tcPr>
          <w:p w14:paraId="64D1897B" w14:textId="0C734A1E" w:rsidR="00971698" w:rsidRPr="00971698" w:rsidRDefault="00971698" w:rsidP="007406BA">
            <w:pPr>
              <w:pStyle w:val="VCAAtablecondensed"/>
              <w:jc w:val="center"/>
              <w:rPr>
                <w:b/>
                <w:bCs/>
                <w:color w:val="FFFFFF" w:themeColor="background1"/>
                <w:szCs w:val="20"/>
                <w:lang w:val="en-AU"/>
              </w:rPr>
            </w:pP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Consequences of use of power</w:t>
            </w:r>
            <w:r>
              <w:rPr>
                <w:b/>
                <w:bCs/>
                <w:color w:val="FFFFFF" w:themeColor="background1"/>
                <w:szCs w:val="20"/>
                <w:lang w:val="en-AU"/>
              </w:rPr>
              <w:t xml:space="preserve"> </w:t>
            </w: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/</w:t>
            </w:r>
            <w:r>
              <w:rPr>
                <w:b/>
                <w:bCs/>
                <w:color w:val="FFFFFF" w:themeColor="background1"/>
                <w:szCs w:val="20"/>
                <w:lang w:val="en-AU"/>
              </w:rPr>
              <w:t xml:space="preserve"> </w:t>
            </w: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foreign policy instruments</w:t>
            </w:r>
          </w:p>
        </w:tc>
        <w:tc>
          <w:tcPr>
            <w:tcW w:w="522" w:type="pct"/>
            <w:shd w:val="clear" w:color="auto" w:fill="0F7EB4"/>
          </w:tcPr>
          <w:p w14:paraId="559420B4" w14:textId="77777777" w:rsidR="00971698" w:rsidRPr="00971698" w:rsidRDefault="00971698" w:rsidP="007406BA">
            <w:pPr>
              <w:pStyle w:val="VCAAtablecondensed"/>
              <w:jc w:val="center"/>
              <w:rPr>
                <w:b/>
                <w:bCs/>
                <w:color w:val="FFFFFF" w:themeColor="background1"/>
                <w:szCs w:val="20"/>
                <w:lang w:val="en-AU"/>
              </w:rPr>
            </w:pP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Impact of actions on other regional actors</w:t>
            </w:r>
          </w:p>
        </w:tc>
        <w:tc>
          <w:tcPr>
            <w:tcW w:w="519" w:type="pct"/>
            <w:shd w:val="clear" w:color="auto" w:fill="0F7EB4"/>
          </w:tcPr>
          <w:p w14:paraId="2EB77E3F" w14:textId="77777777" w:rsidR="00971698" w:rsidRPr="00971698" w:rsidRDefault="00971698" w:rsidP="007406BA">
            <w:pPr>
              <w:pStyle w:val="VCAAtablecondensed"/>
              <w:jc w:val="center"/>
              <w:rPr>
                <w:b/>
                <w:bCs/>
                <w:color w:val="FFFFFF" w:themeColor="background1"/>
                <w:szCs w:val="20"/>
                <w:lang w:val="en-AU"/>
              </w:rPr>
            </w:pPr>
            <w:r w:rsidRPr="00971698">
              <w:rPr>
                <w:b/>
                <w:bCs/>
                <w:color w:val="FFFFFF" w:themeColor="background1"/>
                <w:szCs w:val="20"/>
                <w:lang w:val="en-AU"/>
              </w:rPr>
              <w:t>Extent to which this action contributes to political stability or change in the Indo-Pacific region</w:t>
            </w:r>
          </w:p>
        </w:tc>
      </w:tr>
      <w:tr w:rsidR="00971698" w:rsidRPr="00B04354" w14:paraId="11454A51" w14:textId="77777777" w:rsidTr="00971698">
        <w:trPr>
          <w:trHeight w:val="1291"/>
        </w:trPr>
        <w:tc>
          <w:tcPr>
            <w:tcW w:w="250" w:type="pct"/>
            <w:vMerge/>
            <w:shd w:val="clear" w:color="auto" w:fill="FDE8D1" w:themeFill="accent5" w:themeFillTint="33"/>
          </w:tcPr>
          <w:p w14:paraId="66646320" w14:textId="77777777" w:rsidR="00971698" w:rsidRPr="00B04354" w:rsidRDefault="00971698" w:rsidP="007406BA">
            <w:pPr>
              <w:pStyle w:val="VCAAtablecondensed"/>
              <w:rPr>
                <w:b/>
                <w:bCs/>
                <w:lang w:val="en-AU"/>
              </w:rPr>
            </w:pPr>
          </w:p>
        </w:tc>
        <w:tc>
          <w:tcPr>
            <w:tcW w:w="1099" w:type="pct"/>
            <w:shd w:val="clear" w:color="auto" w:fill="auto"/>
          </w:tcPr>
          <w:p w14:paraId="343BA18F" w14:textId="77777777" w:rsidR="00971698" w:rsidRPr="00B04354" w:rsidRDefault="00971698" w:rsidP="007406BA">
            <w:pPr>
              <w:pStyle w:val="VCAAtablecondensed"/>
              <w:rPr>
                <w:b/>
                <w:bCs/>
                <w:lang w:val="en-AU"/>
              </w:rPr>
            </w:pPr>
          </w:p>
        </w:tc>
        <w:tc>
          <w:tcPr>
            <w:tcW w:w="522" w:type="pct"/>
          </w:tcPr>
          <w:p w14:paraId="6EB1CA1B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35A361E0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57EE8FC9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760F01CF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38C562B4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07685AA7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19" w:type="pct"/>
          </w:tcPr>
          <w:p w14:paraId="496A622E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</w:tr>
      <w:tr w:rsidR="00971698" w:rsidRPr="00B04354" w14:paraId="5424A768" w14:textId="77777777" w:rsidTr="00971698">
        <w:trPr>
          <w:trHeight w:val="1291"/>
        </w:trPr>
        <w:tc>
          <w:tcPr>
            <w:tcW w:w="250" w:type="pct"/>
            <w:vMerge/>
            <w:shd w:val="clear" w:color="auto" w:fill="FDE8D1" w:themeFill="accent5" w:themeFillTint="33"/>
          </w:tcPr>
          <w:p w14:paraId="2A40C378" w14:textId="77777777" w:rsidR="00971698" w:rsidRPr="00B04354" w:rsidRDefault="00971698" w:rsidP="007406BA">
            <w:pPr>
              <w:pStyle w:val="VCAAtablecondensed"/>
              <w:rPr>
                <w:b/>
                <w:bCs/>
                <w:lang w:val="en-AU"/>
              </w:rPr>
            </w:pPr>
          </w:p>
        </w:tc>
        <w:tc>
          <w:tcPr>
            <w:tcW w:w="1099" w:type="pct"/>
            <w:shd w:val="clear" w:color="auto" w:fill="auto"/>
          </w:tcPr>
          <w:p w14:paraId="1197955C" w14:textId="77777777" w:rsidR="00971698" w:rsidRPr="00B04354" w:rsidRDefault="00971698" w:rsidP="007406BA">
            <w:pPr>
              <w:pStyle w:val="VCAAtablecondensed"/>
              <w:rPr>
                <w:b/>
                <w:bCs/>
                <w:lang w:val="en-AU"/>
              </w:rPr>
            </w:pPr>
          </w:p>
        </w:tc>
        <w:tc>
          <w:tcPr>
            <w:tcW w:w="522" w:type="pct"/>
          </w:tcPr>
          <w:p w14:paraId="7F4997D3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45527CB4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0886D365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3768808A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3F180679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17BD2FB8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19" w:type="pct"/>
          </w:tcPr>
          <w:p w14:paraId="4FDC5E90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</w:tr>
      <w:tr w:rsidR="00971698" w:rsidRPr="00B04354" w14:paraId="519A45C7" w14:textId="77777777" w:rsidTr="00971698">
        <w:trPr>
          <w:trHeight w:val="1291"/>
        </w:trPr>
        <w:tc>
          <w:tcPr>
            <w:tcW w:w="250" w:type="pct"/>
            <w:vMerge/>
            <w:shd w:val="clear" w:color="auto" w:fill="FDE8D1" w:themeFill="accent5" w:themeFillTint="33"/>
          </w:tcPr>
          <w:p w14:paraId="1D372C9B" w14:textId="77777777" w:rsidR="00971698" w:rsidRPr="00B04354" w:rsidRDefault="00971698" w:rsidP="007406BA">
            <w:pPr>
              <w:pStyle w:val="VCAAtablecondensed"/>
              <w:rPr>
                <w:b/>
                <w:bCs/>
                <w:lang w:val="en-AU"/>
              </w:rPr>
            </w:pPr>
          </w:p>
        </w:tc>
        <w:tc>
          <w:tcPr>
            <w:tcW w:w="1099" w:type="pct"/>
            <w:shd w:val="clear" w:color="auto" w:fill="auto"/>
          </w:tcPr>
          <w:p w14:paraId="68B6F865" w14:textId="77777777" w:rsidR="00971698" w:rsidRPr="00B04354" w:rsidRDefault="00971698" w:rsidP="007406BA">
            <w:pPr>
              <w:pStyle w:val="VCAAtablecondensed"/>
              <w:rPr>
                <w:b/>
                <w:bCs/>
                <w:lang w:val="en-AU"/>
              </w:rPr>
            </w:pPr>
          </w:p>
        </w:tc>
        <w:tc>
          <w:tcPr>
            <w:tcW w:w="522" w:type="pct"/>
          </w:tcPr>
          <w:p w14:paraId="4E641C79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71A5295E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6830EC10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37DD17D3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37E7D6B7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22" w:type="pct"/>
          </w:tcPr>
          <w:p w14:paraId="5424F4E2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519" w:type="pct"/>
          </w:tcPr>
          <w:p w14:paraId="28D36A1B" w14:textId="77777777" w:rsidR="00971698" w:rsidRPr="000C2A6B" w:rsidRDefault="00971698" w:rsidP="007406BA">
            <w:pPr>
              <w:pStyle w:val="VCAAtablecondensed"/>
              <w:rPr>
                <w:b/>
                <w:bCs/>
                <w:sz w:val="18"/>
                <w:szCs w:val="18"/>
                <w:lang w:val="en-AU"/>
              </w:rPr>
            </w:pPr>
          </w:p>
        </w:tc>
      </w:tr>
    </w:tbl>
    <w:p w14:paraId="68B38712" w14:textId="77777777" w:rsidR="007810AD" w:rsidRPr="007810AD" w:rsidRDefault="007810AD" w:rsidP="007810AD">
      <w:pPr>
        <w:pStyle w:val="VCAAbody"/>
        <w:spacing w:before="0" w:after="0"/>
        <w:rPr>
          <w:lang w:val="en" w:eastAsia="en-AU"/>
        </w:rPr>
      </w:pPr>
    </w:p>
    <w:sectPr w:rsidR="007810AD" w:rsidRPr="007810AD" w:rsidSect="007810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DC0CE31" w:rsidR="00FD29D3" w:rsidRPr="00D86DE4" w:rsidRDefault="007E0FB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Politics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ED8B71B">
          <wp:simplePos x="0" y="0"/>
          <wp:positionH relativeFrom="column">
            <wp:posOffset>-902970</wp:posOffset>
          </wp:positionH>
          <wp:positionV relativeFrom="page">
            <wp:align>top</wp:align>
          </wp:positionV>
          <wp:extent cx="11249025" cy="7067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902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832017765">
    <w:abstractNumId w:val="4"/>
  </w:num>
  <w:num w:numId="2" w16cid:durableId="501312973">
    <w:abstractNumId w:val="2"/>
  </w:num>
  <w:num w:numId="3" w16cid:durableId="1742019379">
    <w:abstractNumId w:val="1"/>
  </w:num>
  <w:num w:numId="4" w16cid:durableId="1797285697">
    <w:abstractNumId w:val="0"/>
  </w:num>
  <w:num w:numId="5" w16cid:durableId="284774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0AD"/>
    <w:rsid w:val="00781FB1"/>
    <w:rsid w:val="007D1B6D"/>
    <w:rsid w:val="007E0FBC"/>
    <w:rsid w:val="00813C37"/>
    <w:rsid w:val="008154B5"/>
    <w:rsid w:val="00823962"/>
    <w:rsid w:val="00852719"/>
    <w:rsid w:val="00860115"/>
    <w:rsid w:val="0088783C"/>
    <w:rsid w:val="009370BC"/>
    <w:rsid w:val="00970580"/>
    <w:rsid w:val="00971698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7942A2-50B5-49B1-910A-D61A9485D3A0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Politics</dc:title>
  <dc:subject>Politics</dc:subject>
  <dc:creator>vcaa@education.vic.gov.au</dc:creator>
  <cp:keywords>politics, VCE, group research task, unit 4, area of study 2, attachment 4</cp:keywords>
  <cp:lastModifiedBy>Julie Coleman</cp:lastModifiedBy>
  <cp:revision>3</cp:revision>
  <cp:lastPrinted>2015-05-15T02:36:00Z</cp:lastPrinted>
  <dcterms:created xsi:type="dcterms:W3CDTF">2023-06-14T06:30:00Z</dcterms:created>
  <dcterms:modified xsi:type="dcterms:W3CDTF">2023-07-05T02:42:00Z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