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1A0542E" w:rsidR="00F4525C" w:rsidRDefault="00242AC0" w:rsidP="00FD057D">
      <w:pPr>
        <w:pStyle w:val="VCAAHeading1"/>
        <w:spacing w:before="0" w:after="0"/>
      </w:pPr>
      <w:r>
        <w:t xml:space="preserve">VCE </w:t>
      </w:r>
      <w:r w:rsidR="00486498">
        <w:t>Sociology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452"/>
        <w:gridCol w:w="2591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3BF47F54" w:rsidR="008D74EF" w:rsidRPr="002B3671" w:rsidRDefault="0048649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SOCIOLOGY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F27374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77777777" w:rsidR="00F27374" w:rsidRPr="00242AC0" w:rsidRDefault="00F27374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5AB4DAC0" w:rsidR="00F27374" w:rsidRPr="00242AC0" w:rsidRDefault="00F27374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7CD4F345" w:rsidR="00F27374" w:rsidRPr="00CD4336" w:rsidRDefault="00F27374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5F2AFA">
              <w:rPr>
                <w:rFonts w:ascii="Arial Narrow" w:hAnsi="Arial Narrow" w:cs="Cordia New"/>
                <w:b/>
                <w:color w:val="221E1F"/>
                <w:szCs w:val="20"/>
              </w:rPr>
              <w:t>Analyse experiences of ethnicity within Australian society</w:t>
            </w:r>
            <w:r w:rsidRPr="00CD4336">
              <w:rPr>
                <w:rFonts w:ascii="Arial Narrow" w:hAnsi="Arial Narrow"/>
                <w:b/>
                <w:bCs/>
                <w:szCs w:val="20"/>
                <w:lang w:val="en-AU"/>
              </w:rPr>
              <w:t>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F27374" w:rsidRPr="00242AC0" w:rsidRDefault="00F27374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27374" w:rsidRPr="00242AC0" w14:paraId="06EFEA4E" w14:textId="77777777" w:rsidTr="005E5337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F27374" w:rsidRPr="00242AC0" w:rsidRDefault="00F27374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6FEF26A5" w14:textId="3706207B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91" w:type="dxa"/>
            <w:vAlign w:val="center"/>
          </w:tcPr>
          <w:p w14:paraId="5D2D2580" w14:textId="26A4B4E0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F27374" w:rsidRPr="00242AC0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F27374" w:rsidRPr="00443A55" w:rsidRDefault="00F27374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5E5337" w:rsidRPr="005E5337" w14:paraId="7F64F049" w14:textId="77777777" w:rsidTr="005E5337">
        <w:tc>
          <w:tcPr>
            <w:tcW w:w="2505" w:type="dxa"/>
            <w:vMerge/>
            <w:vAlign w:val="center"/>
          </w:tcPr>
          <w:p w14:paraId="3CFC6151" w14:textId="77777777" w:rsidR="00B73D2B" w:rsidRPr="00242AC0" w:rsidRDefault="00B73D2B" w:rsidP="00B73D2B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392E35FF" w14:textId="744AF403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Names a sociological concept</w:t>
            </w:r>
          </w:p>
        </w:tc>
        <w:tc>
          <w:tcPr>
            <w:tcW w:w="2591" w:type="dxa"/>
          </w:tcPr>
          <w:p w14:paraId="3CDA3BBF" w14:textId="341C4FEE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Outlines a sociological concept</w:t>
            </w:r>
          </w:p>
        </w:tc>
        <w:tc>
          <w:tcPr>
            <w:tcW w:w="2524" w:type="dxa"/>
          </w:tcPr>
          <w:p w14:paraId="1B32EC80" w14:textId="718F8EA0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Describes sociological concepts</w:t>
            </w:r>
          </w:p>
        </w:tc>
        <w:tc>
          <w:tcPr>
            <w:tcW w:w="2520" w:type="dxa"/>
          </w:tcPr>
          <w:p w14:paraId="0BA7A360" w14:textId="0853E4C1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Explains sociological concepts</w:t>
            </w:r>
          </w:p>
        </w:tc>
        <w:tc>
          <w:tcPr>
            <w:tcW w:w="2536" w:type="dxa"/>
          </w:tcPr>
          <w:p w14:paraId="3933482E" w14:textId="3CC35161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Applies sociological concepts</w:t>
            </w:r>
          </w:p>
        </w:tc>
      </w:tr>
      <w:tr w:rsidR="005E5337" w:rsidRPr="005E5337" w14:paraId="5818D3DD" w14:textId="77777777" w:rsidTr="005E5337">
        <w:tc>
          <w:tcPr>
            <w:tcW w:w="2505" w:type="dxa"/>
            <w:vMerge/>
            <w:vAlign w:val="center"/>
          </w:tcPr>
          <w:p w14:paraId="5E633015" w14:textId="77777777" w:rsidR="00B73D2B" w:rsidRPr="00242AC0" w:rsidRDefault="00B73D2B" w:rsidP="00B73D2B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1E38705F" w14:textId="3F2173E2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States factors that prevent or enable a sense of belonging and inclusion in a multicultural Australian society</w:t>
            </w:r>
          </w:p>
        </w:tc>
        <w:tc>
          <w:tcPr>
            <w:tcW w:w="2591" w:type="dxa"/>
          </w:tcPr>
          <w:p w14:paraId="763B9EB6" w14:textId="23B0D730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Recount</w:t>
            </w:r>
            <w:r w:rsidR="005E5337" w:rsidRPr="00255FA1">
              <w:rPr>
                <w:rFonts w:ascii="Arial Narrow" w:eastAsia="Arial" w:hAnsi="Arial Narrow" w:cs="Arial"/>
                <w:sz w:val="20"/>
                <w:szCs w:val="20"/>
              </w:rPr>
              <w:t>s</w:t>
            </w: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 xml:space="preserve"> factors that prevent or enable a sense of belonging and inclusion in a multicultural Australian society</w:t>
            </w:r>
          </w:p>
        </w:tc>
        <w:tc>
          <w:tcPr>
            <w:tcW w:w="2524" w:type="dxa"/>
          </w:tcPr>
          <w:p w14:paraId="6844A0C7" w14:textId="40FB6CB0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Describes the factors that prevent or enable a sense of belonging and inclusion in a multicultural Australian society</w:t>
            </w:r>
          </w:p>
        </w:tc>
        <w:tc>
          <w:tcPr>
            <w:tcW w:w="2520" w:type="dxa"/>
          </w:tcPr>
          <w:p w14:paraId="2BD8EB74" w14:textId="0032A56E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Explains how factor(s) prevent or enable a sense of belonging and inclusion in a multicultural Australian society</w:t>
            </w:r>
          </w:p>
        </w:tc>
        <w:tc>
          <w:tcPr>
            <w:tcW w:w="2536" w:type="dxa"/>
          </w:tcPr>
          <w:p w14:paraId="3BCD8FF7" w14:textId="19E818EC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Analyse</w:t>
            </w:r>
            <w:r w:rsidR="00AB16DA">
              <w:rPr>
                <w:rFonts w:ascii="Arial Narrow" w:eastAsia="Arial" w:hAnsi="Arial Narrow" w:cs="Arial"/>
                <w:sz w:val="20"/>
                <w:szCs w:val="20"/>
              </w:rPr>
              <w:t>s</w:t>
            </w: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 xml:space="preserve"> factors that may prevent or enable a sense of belonging and inclusion in a multicultural Australian society</w:t>
            </w:r>
          </w:p>
        </w:tc>
      </w:tr>
      <w:tr w:rsidR="005E5337" w:rsidRPr="005E5337" w14:paraId="4E081013" w14:textId="77777777" w:rsidTr="005E5337">
        <w:tc>
          <w:tcPr>
            <w:tcW w:w="2505" w:type="dxa"/>
            <w:vMerge/>
            <w:vAlign w:val="center"/>
          </w:tcPr>
          <w:p w14:paraId="4B84BD05" w14:textId="77777777" w:rsidR="00B73D2B" w:rsidRPr="00242AC0" w:rsidRDefault="00B73D2B" w:rsidP="00B73D2B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3E544CB2" w14:textId="6BF6F797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Identifies characteristics of a specific ethnic group</w:t>
            </w:r>
          </w:p>
        </w:tc>
        <w:tc>
          <w:tcPr>
            <w:tcW w:w="2591" w:type="dxa"/>
          </w:tcPr>
          <w:p w14:paraId="430F2760" w14:textId="22DEC090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Identifies sociological concepts that relate to a specific ethnic group</w:t>
            </w:r>
          </w:p>
        </w:tc>
        <w:tc>
          <w:tcPr>
            <w:tcW w:w="2524" w:type="dxa"/>
          </w:tcPr>
          <w:p w14:paraId="37665821" w14:textId="2199E462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Describes the experience of a specific ethnic group with reference to relevant sociological concepts and theories</w:t>
            </w:r>
          </w:p>
        </w:tc>
        <w:tc>
          <w:tcPr>
            <w:tcW w:w="2520" w:type="dxa"/>
          </w:tcPr>
          <w:p w14:paraId="6C4FC40D" w14:textId="25298EE6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Discusses the experience of a specific ethnic group with reference to relevant sociological concepts and theories</w:t>
            </w:r>
          </w:p>
        </w:tc>
        <w:tc>
          <w:tcPr>
            <w:tcW w:w="2536" w:type="dxa"/>
          </w:tcPr>
          <w:p w14:paraId="4B210D4D" w14:textId="7810C490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Analyse</w:t>
            </w:r>
            <w:r w:rsidR="00AB16DA">
              <w:rPr>
                <w:rFonts w:ascii="Arial Narrow" w:eastAsia="Arial" w:hAnsi="Arial Narrow" w:cs="Arial"/>
                <w:sz w:val="20"/>
                <w:szCs w:val="20"/>
              </w:rPr>
              <w:t>s</w:t>
            </w: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 xml:space="preserve"> the experience of a specific ethnic group with reference to relevant sociological concepts and theories</w:t>
            </w:r>
          </w:p>
        </w:tc>
      </w:tr>
      <w:tr w:rsidR="005E5337" w:rsidRPr="005E5337" w14:paraId="2967C222" w14:textId="77777777" w:rsidTr="005E5337">
        <w:tc>
          <w:tcPr>
            <w:tcW w:w="2505" w:type="dxa"/>
            <w:vMerge/>
            <w:vAlign w:val="center"/>
          </w:tcPr>
          <w:p w14:paraId="265D7F39" w14:textId="77777777" w:rsidR="00B73D2B" w:rsidRPr="00242AC0" w:rsidRDefault="00B73D2B" w:rsidP="00B73D2B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6BE66AC5" w14:textId="2413175A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States an ethical methodology to source relevant evidence</w:t>
            </w:r>
          </w:p>
        </w:tc>
        <w:tc>
          <w:tcPr>
            <w:tcW w:w="2591" w:type="dxa"/>
          </w:tcPr>
          <w:p w14:paraId="019B0932" w14:textId="4ED27835" w:rsidR="00B73D2B" w:rsidRPr="00255FA1" w:rsidRDefault="00D23CA9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Outlines</w:t>
            </w:r>
            <w:r w:rsidR="005E5337" w:rsidRPr="00255FA1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B73D2B" w:rsidRPr="00255FA1">
              <w:rPr>
                <w:rFonts w:ascii="Arial Narrow" w:eastAsia="Arial" w:hAnsi="Arial Narrow" w:cs="Arial"/>
                <w:sz w:val="20"/>
                <w:szCs w:val="20"/>
              </w:rPr>
              <w:t>the purpose of an ethical methodology to source relevant evidence</w:t>
            </w:r>
          </w:p>
        </w:tc>
        <w:tc>
          <w:tcPr>
            <w:tcW w:w="2524" w:type="dxa"/>
          </w:tcPr>
          <w:p w14:paraId="33BC7FEF" w14:textId="1C63327D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Applies an ethical methodology to gather relevant evidence</w:t>
            </w:r>
          </w:p>
        </w:tc>
        <w:tc>
          <w:tcPr>
            <w:tcW w:w="2520" w:type="dxa"/>
          </w:tcPr>
          <w:p w14:paraId="6184B337" w14:textId="75609B1F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Integrates ethical methodologies in sourcing relevant evidence</w:t>
            </w:r>
          </w:p>
        </w:tc>
        <w:tc>
          <w:tcPr>
            <w:tcW w:w="2536" w:type="dxa"/>
          </w:tcPr>
          <w:p w14:paraId="3ADC1D95" w14:textId="30709DD7" w:rsidR="00B73D2B" w:rsidRPr="00255FA1" w:rsidRDefault="00B73D2B" w:rsidP="00FD057D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Applies an ethical methodology to source relevant evidence</w:t>
            </w:r>
          </w:p>
        </w:tc>
      </w:tr>
      <w:tr w:rsidR="005E5337" w:rsidRPr="005E5337" w14:paraId="35D96A72" w14:textId="77777777" w:rsidTr="005E5337">
        <w:tc>
          <w:tcPr>
            <w:tcW w:w="2505" w:type="dxa"/>
            <w:vMerge/>
            <w:vAlign w:val="center"/>
          </w:tcPr>
          <w:p w14:paraId="6B641ED3" w14:textId="77777777" w:rsidR="00B73D2B" w:rsidRPr="00242AC0" w:rsidRDefault="00B73D2B" w:rsidP="00B73D2B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7AFF6A54" w14:textId="18CB2F44" w:rsidR="00B73D2B" w:rsidRPr="00255FA1" w:rsidRDefault="00B73D2B" w:rsidP="00FD057D">
            <w:pPr>
              <w:spacing w:before="40" w:after="40"/>
              <w:rPr>
                <w:rFonts w:ascii="Arial Narrow" w:hAnsi="Arial Narrow" w:cs="Calibri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Describes content of a source</w:t>
            </w:r>
          </w:p>
        </w:tc>
        <w:tc>
          <w:tcPr>
            <w:tcW w:w="2591" w:type="dxa"/>
          </w:tcPr>
          <w:p w14:paraId="339F0516" w14:textId="649F588D" w:rsidR="00B73D2B" w:rsidRPr="00255FA1" w:rsidRDefault="00B73D2B" w:rsidP="00FD057D">
            <w:pPr>
              <w:spacing w:before="40" w:after="40"/>
              <w:rPr>
                <w:rFonts w:ascii="Arial Narrow" w:hAnsi="Arial Narrow" w:cs="Calibri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Explains meaning of a source</w:t>
            </w:r>
          </w:p>
        </w:tc>
        <w:tc>
          <w:tcPr>
            <w:tcW w:w="2524" w:type="dxa"/>
          </w:tcPr>
          <w:p w14:paraId="7692FE79" w14:textId="50D4266E" w:rsidR="00B73D2B" w:rsidRPr="00255FA1" w:rsidRDefault="00B73D2B" w:rsidP="00FD057D">
            <w:pPr>
              <w:spacing w:before="40" w:after="40"/>
              <w:rPr>
                <w:rFonts w:ascii="Arial Narrow" w:hAnsi="Arial Narrow" w:cs="Calibri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Considers how a source affects their own understanding of the social world</w:t>
            </w:r>
          </w:p>
        </w:tc>
        <w:tc>
          <w:tcPr>
            <w:tcW w:w="2520" w:type="dxa"/>
          </w:tcPr>
          <w:p w14:paraId="00394DDD" w14:textId="401CC0A1" w:rsidR="00B73D2B" w:rsidRPr="00255FA1" w:rsidRDefault="00B73D2B" w:rsidP="00FD057D">
            <w:pPr>
              <w:spacing w:before="40" w:after="40"/>
              <w:rPr>
                <w:rFonts w:ascii="Arial Narrow" w:hAnsi="Arial Narrow" w:cs="Calibri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Explains how a source affects others' understanding of the social world</w:t>
            </w:r>
          </w:p>
        </w:tc>
        <w:tc>
          <w:tcPr>
            <w:tcW w:w="2536" w:type="dxa"/>
          </w:tcPr>
          <w:p w14:paraId="316CCBF6" w14:textId="42731728" w:rsidR="00B73D2B" w:rsidRPr="00255FA1" w:rsidRDefault="00B73D2B" w:rsidP="00FD057D">
            <w:pPr>
              <w:spacing w:before="40" w:after="40"/>
              <w:rPr>
                <w:rFonts w:ascii="Arial Narrow" w:hAnsi="Arial Narrow" w:cs="Calibri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Evaluates sources to critically reflect on their own and other’s approaches to understanding the social world</w:t>
            </w:r>
          </w:p>
        </w:tc>
      </w:tr>
      <w:tr w:rsidR="005E5337" w:rsidRPr="005E5337" w14:paraId="0A9B11BA" w14:textId="77777777" w:rsidTr="005E5337">
        <w:tc>
          <w:tcPr>
            <w:tcW w:w="2505" w:type="dxa"/>
            <w:vMerge/>
            <w:vAlign w:val="center"/>
          </w:tcPr>
          <w:p w14:paraId="22010947" w14:textId="77777777" w:rsidR="00B73D2B" w:rsidRPr="00242AC0" w:rsidRDefault="00B73D2B" w:rsidP="00B73D2B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1CCDB453" w14:textId="0D69C6FD" w:rsidR="00B73D2B" w:rsidRPr="00255FA1" w:rsidRDefault="00B73D2B" w:rsidP="00FD057D">
            <w:pPr>
              <w:spacing w:before="40" w:after="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Identifies relevant source materials to support observations and analysis</w:t>
            </w:r>
          </w:p>
        </w:tc>
        <w:tc>
          <w:tcPr>
            <w:tcW w:w="2591" w:type="dxa"/>
          </w:tcPr>
          <w:p w14:paraId="1A8B8B3A" w14:textId="5B31EDAD" w:rsidR="00B73D2B" w:rsidRPr="00255FA1" w:rsidRDefault="00B73D2B" w:rsidP="00FD057D">
            <w:pPr>
              <w:spacing w:before="40" w:after="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Selects relevant source materials that support observations and analysis</w:t>
            </w:r>
          </w:p>
        </w:tc>
        <w:tc>
          <w:tcPr>
            <w:tcW w:w="2524" w:type="dxa"/>
          </w:tcPr>
          <w:p w14:paraId="7668F6F3" w14:textId="0445C3AC" w:rsidR="00B73D2B" w:rsidRPr="00255FA1" w:rsidRDefault="00B73D2B" w:rsidP="00FD057D">
            <w:pPr>
              <w:spacing w:before="40" w:after="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Uses relevant source material to support observations and analysis</w:t>
            </w:r>
          </w:p>
        </w:tc>
        <w:tc>
          <w:tcPr>
            <w:tcW w:w="2520" w:type="dxa"/>
          </w:tcPr>
          <w:p w14:paraId="33D6C209" w14:textId="0663249B" w:rsidR="00B73D2B" w:rsidRPr="00255FA1" w:rsidRDefault="00B73D2B" w:rsidP="00FD057D">
            <w:pPr>
              <w:spacing w:before="40" w:after="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Integrates relevant source materials to support observation and analysis</w:t>
            </w:r>
          </w:p>
        </w:tc>
        <w:tc>
          <w:tcPr>
            <w:tcW w:w="2536" w:type="dxa"/>
          </w:tcPr>
          <w:p w14:paraId="50DEB38D" w14:textId="5B8F87AF" w:rsidR="00B73D2B" w:rsidRPr="00255FA1" w:rsidRDefault="00B73D2B" w:rsidP="00FD057D">
            <w:pPr>
              <w:spacing w:before="40" w:after="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255FA1">
              <w:rPr>
                <w:rFonts w:ascii="Arial Narrow" w:eastAsia="Arial" w:hAnsi="Arial Narrow" w:cs="Arial"/>
                <w:sz w:val="20"/>
                <w:szCs w:val="20"/>
              </w:rPr>
              <w:t>Uses a variety of relevant source materials to support observations and analysis</w:t>
            </w:r>
          </w:p>
        </w:tc>
      </w:tr>
    </w:tbl>
    <w:p w14:paraId="3EE955E5" w14:textId="77777777" w:rsidR="00FD057D" w:rsidRDefault="00FD057D" w:rsidP="00FD057D">
      <w:pPr>
        <w:spacing w:after="0" w:line="240" w:lineRule="auto"/>
        <w:rPr>
          <w:rFonts w:cs="Arial"/>
          <w:sz w:val="18"/>
          <w:szCs w:val="18"/>
        </w:rPr>
      </w:pPr>
    </w:p>
    <w:p w14:paraId="574A2294" w14:textId="0B8FDB1F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300C90">
        <w:rPr>
          <w:rFonts w:cs="Arial"/>
          <w:sz w:val="18"/>
          <w:szCs w:val="18"/>
        </w:rPr>
        <w:t>5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</w:t>
      </w:r>
      <w:proofErr w:type="gramStart"/>
      <w:r w:rsidRPr="007C3D7A">
        <w:rPr>
          <w:rFonts w:cs="Arial"/>
          <w:sz w:val="18"/>
          <w:szCs w:val="18"/>
        </w:rPr>
        <w:t>marks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B15E8B" w:rsidRPr="00EC42E9" w14:paraId="260AC1DE" w14:textId="77777777" w:rsidTr="00615378">
        <w:tc>
          <w:tcPr>
            <w:tcW w:w="2062" w:type="dxa"/>
            <w:vAlign w:val="center"/>
          </w:tcPr>
          <w:p w14:paraId="521D7622" w14:textId="3E2F1048" w:rsidR="00B15E8B" w:rsidRPr="004B7620" w:rsidRDefault="00B15E8B" w:rsidP="00B15E8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14:paraId="4F49E58B" w14:textId="7546403F" w:rsidR="00B15E8B" w:rsidRPr="004B7620" w:rsidRDefault="00B15E8B" w:rsidP="00B15E8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11–20</w:t>
            </w:r>
          </w:p>
        </w:tc>
        <w:tc>
          <w:tcPr>
            <w:tcW w:w="2063" w:type="dxa"/>
            <w:vAlign w:val="center"/>
          </w:tcPr>
          <w:p w14:paraId="60F7F49D" w14:textId="78BEAD2A" w:rsidR="00B15E8B" w:rsidRPr="004B7620" w:rsidRDefault="00B15E8B" w:rsidP="00B15E8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21–30</w:t>
            </w:r>
          </w:p>
        </w:tc>
        <w:tc>
          <w:tcPr>
            <w:tcW w:w="2063" w:type="dxa"/>
            <w:vAlign w:val="center"/>
          </w:tcPr>
          <w:p w14:paraId="23701330" w14:textId="74D13343" w:rsidR="00B15E8B" w:rsidRPr="004B7620" w:rsidRDefault="00B15E8B" w:rsidP="00B15E8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31–40</w:t>
            </w:r>
          </w:p>
        </w:tc>
        <w:tc>
          <w:tcPr>
            <w:tcW w:w="2063" w:type="dxa"/>
            <w:vAlign w:val="center"/>
          </w:tcPr>
          <w:p w14:paraId="1D9CDE59" w14:textId="16DE6812" w:rsidR="00B15E8B" w:rsidRPr="004B7620" w:rsidRDefault="00B15E8B" w:rsidP="00B15E8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41–5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Pr="00FD057D" w:rsidRDefault="008D74EF" w:rsidP="00F27374">
      <w:pPr>
        <w:pStyle w:val="VCAAfigures"/>
        <w:spacing w:before="0"/>
        <w:jc w:val="left"/>
        <w:rPr>
          <w:sz w:val="8"/>
          <w:szCs w:val="8"/>
        </w:rPr>
      </w:pPr>
    </w:p>
    <w:sectPr w:rsidR="008D74EF" w:rsidRPr="00FD057D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2CC02F" w:rsidR="008D74EF" w:rsidRPr="00D86DE4" w:rsidRDefault="00AB16D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86498">
          <w:rPr>
            <w:color w:val="999999" w:themeColor="accent2"/>
          </w:rPr>
          <w:t>VCESociology</w:t>
        </w:r>
        <w:proofErr w:type="spellEnd"/>
        <w:r w:rsidR="00486498">
          <w:rPr>
            <w:color w:val="999999" w:themeColor="accent2"/>
          </w:rPr>
          <w:t>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14643764">
    <w:abstractNumId w:val="4"/>
  </w:num>
  <w:num w:numId="2" w16cid:durableId="1949239375">
    <w:abstractNumId w:val="2"/>
  </w:num>
  <w:num w:numId="3" w16cid:durableId="422804576">
    <w:abstractNumId w:val="1"/>
  </w:num>
  <w:num w:numId="4" w16cid:durableId="2144883765">
    <w:abstractNumId w:val="0"/>
  </w:num>
  <w:num w:numId="5" w16cid:durableId="623581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55FA1"/>
    <w:rsid w:val="00260767"/>
    <w:rsid w:val="002647BB"/>
    <w:rsid w:val="002754C1"/>
    <w:rsid w:val="002841C8"/>
    <w:rsid w:val="0028516B"/>
    <w:rsid w:val="002B3671"/>
    <w:rsid w:val="002C6F90"/>
    <w:rsid w:val="002E4FB5"/>
    <w:rsid w:val="00300C90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86498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E5337"/>
    <w:rsid w:val="005F4092"/>
    <w:rsid w:val="0068471E"/>
    <w:rsid w:val="00684F98"/>
    <w:rsid w:val="00693FFD"/>
    <w:rsid w:val="006D2159"/>
    <w:rsid w:val="006F787C"/>
    <w:rsid w:val="00702636"/>
    <w:rsid w:val="00724507"/>
    <w:rsid w:val="007442B6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16DA"/>
    <w:rsid w:val="00AB6FD1"/>
    <w:rsid w:val="00AE5526"/>
    <w:rsid w:val="00AF051B"/>
    <w:rsid w:val="00B01578"/>
    <w:rsid w:val="00B0738F"/>
    <w:rsid w:val="00B13D3B"/>
    <w:rsid w:val="00B15E8B"/>
    <w:rsid w:val="00B26601"/>
    <w:rsid w:val="00B41951"/>
    <w:rsid w:val="00B53229"/>
    <w:rsid w:val="00B62480"/>
    <w:rsid w:val="00B73D2B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3CA9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27374"/>
    <w:rsid w:val="00F31E4C"/>
    <w:rsid w:val="00F40D53"/>
    <w:rsid w:val="00F4525C"/>
    <w:rsid w:val="00F50D86"/>
    <w:rsid w:val="00FD057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7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D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  <w:rsid w:val="00B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573EC-3F3B-4BC1-994C-4E77E5F6F471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VCESociology: Performance descriptors</vt:lpstr>
    </vt:vector>
  </TitlesOfParts>
  <Company>Victorian Curriculum and Assessment Authority</Company>
  <LinksUpToDate>false</LinksUpToDate>
  <CharactersWithSpaces>2595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VCESociology: Performance descriptors</dc:title>
  <dc:subject>VCE Sociology</dc:subject>
  <dc:creator>vcaa@education.vic.gov.au</dc:creator>
  <cp:keywords>sociology, VCE, performance descriptors, unit 3, outcome 2</cp:keywords>
  <cp:lastModifiedBy>Patrick Wilkes</cp:lastModifiedBy>
  <cp:revision>8</cp:revision>
  <cp:lastPrinted>2015-05-15T02:36:00Z</cp:lastPrinted>
  <dcterms:created xsi:type="dcterms:W3CDTF">2023-10-17T03:56:00Z</dcterms:created>
  <dcterms:modified xsi:type="dcterms:W3CDTF">2023-11-29T22:39:00Z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