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BF987" w14:textId="23EFBA3D" w:rsidR="007D1D9E" w:rsidRDefault="000A1A0E" w:rsidP="002C006B">
      <w:pPr>
        <w:pStyle w:val="VCAADocumenttitle"/>
      </w:pPr>
      <w:r>
        <w:t>Outdoor and Environmental</w:t>
      </w:r>
      <w:r w:rsidR="007D1D9E">
        <w:t xml:space="preserve"> Studies </w:t>
      </w:r>
      <w:r w:rsidR="00BB2AEC">
        <w:t>OS03</w:t>
      </w:r>
    </w:p>
    <w:p w14:paraId="1540DC9C" w14:textId="723A82CC" w:rsidR="00BB2AEC" w:rsidRPr="00D77066" w:rsidRDefault="00BB2AEC" w:rsidP="00D77066">
      <w:pPr>
        <w:pStyle w:val="VCAAbody"/>
      </w:pPr>
      <w:r w:rsidRPr="00D77066">
        <w:rPr>
          <w:rStyle w:val="VCAAbodyChar"/>
        </w:rPr>
        <w:t xml:space="preserve">Refer to </w:t>
      </w:r>
      <w:hyperlink r:id="rId11" w:history="1">
        <w:r w:rsidRPr="0050324D">
          <w:rPr>
            <w:rStyle w:val="Hyperlink"/>
          </w:rPr>
          <w:t>Advice for Teachers</w:t>
        </w:r>
      </w:hyperlink>
      <w:bookmarkStart w:id="0" w:name="_GoBack"/>
      <w:bookmarkEnd w:id="0"/>
      <w:r w:rsidRPr="00D77066">
        <w:rPr>
          <w:rStyle w:val="VCAAbodyChar"/>
        </w:rPr>
        <w:t>, as required.</w:t>
      </w:r>
    </w:p>
    <w:p w14:paraId="745C0517" w14:textId="77777777" w:rsidR="00BB2AEC" w:rsidRPr="00645CDE" w:rsidRDefault="00BB2AEC" w:rsidP="00D77066">
      <w:pPr>
        <w:pStyle w:val="VCAAbullet"/>
      </w:pPr>
      <w:r w:rsidRPr="00645CDE">
        <w:t>Practical work in preparation for Unit 4 Outcome</w:t>
      </w:r>
      <w:r>
        <w:t>s</w:t>
      </w:r>
      <w:r w:rsidRPr="00645CDE">
        <w:t xml:space="preserve"> may be delayed until classroom learning resumes.  </w:t>
      </w:r>
    </w:p>
    <w:p w14:paraId="093C3AF2" w14:textId="77777777" w:rsidR="00BB2AEC" w:rsidRDefault="00BB2AEC" w:rsidP="00D77066">
      <w:pPr>
        <w:pStyle w:val="VCAAbullet"/>
      </w:pPr>
      <w:r>
        <w:t xml:space="preserve">Where practical experiences cannot be undertaken, schools may allow students to draw on previous </w:t>
      </w:r>
      <w:r w:rsidRPr="00F63AF7">
        <w:t>(school based or personal) practical outdoor experiences</w:t>
      </w:r>
      <w:r>
        <w:t xml:space="preserve"> to report on for the Journal task in both Outcomes 1 and 2.</w:t>
      </w:r>
    </w:p>
    <w:p w14:paraId="66AE057E" w14:textId="77777777" w:rsidR="00BB2AEC" w:rsidRDefault="00BB2AEC" w:rsidP="00D77066">
      <w:pPr>
        <w:pStyle w:val="VCAAbullet"/>
      </w:pPr>
      <w:r>
        <w:t>Where a school can go ahead with practical experience relating to Outcomes 1 and 2 in Term 2, these must be completed in a supervised school environment that adheres to current social-distancing advice.</w:t>
      </w:r>
    </w:p>
    <w:p w14:paraId="4EFCFA13" w14:textId="77777777" w:rsidR="002C006B" w:rsidRDefault="002C006B" w:rsidP="002C006B">
      <w:pPr>
        <w:pStyle w:val="VCAAbullet"/>
        <w:numPr>
          <w:ilvl w:val="0"/>
          <w:numId w:val="0"/>
        </w:numPr>
      </w:pPr>
    </w:p>
    <w:tbl>
      <w:tblPr>
        <w:tblStyle w:val="VCAATableClosed"/>
        <w:tblpPr w:leftFromText="180" w:rightFromText="180" w:vertAnchor="text"/>
        <w:tblW w:w="5286" w:type="pct"/>
        <w:tblLook w:val="04A0" w:firstRow="1" w:lastRow="0" w:firstColumn="1" w:lastColumn="0" w:noHBand="0" w:noVBand="1"/>
      </w:tblPr>
      <w:tblGrid>
        <w:gridCol w:w="1923"/>
        <w:gridCol w:w="2383"/>
        <w:gridCol w:w="2238"/>
        <w:gridCol w:w="3636"/>
      </w:tblGrid>
      <w:tr w:rsidR="002C006B" w:rsidRPr="00926A4D" w14:paraId="15D4A487" w14:textId="77777777" w:rsidTr="002C0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4" w:type="pct"/>
            <w:hideMark/>
          </w:tcPr>
          <w:p w14:paraId="27803AD2" w14:textId="77777777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>Outcome</w:t>
            </w:r>
          </w:p>
        </w:tc>
        <w:tc>
          <w:tcPr>
            <w:tcW w:w="1170" w:type="pct"/>
            <w:hideMark/>
          </w:tcPr>
          <w:p w14:paraId="7D5D5CEE" w14:textId="218EF56D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 xml:space="preserve">Assessment </w:t>
            </w:r>
            <w:r w:rsidR="002C006B">
              <w:t>t</w:t>
            </w:r>
            <w:r w:rsidRPr="00926A4D">
              <w:t>ask</w:t>
            </w:r>
          </w:p>
        </w:tc>
        <w:tc>
          <w:tcPr>
            <w:tcW w:w="1099" w:type="pct"/>
            <w:hideMark/>
          </w:tcPr>
          <w:p w14:paraId="01C32414" w14:textId="361314A4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>Must be completed on-site</w:t>
            </w:r>
            <w:r w:rsidR="00090169">
              <w:t xml:space="preserve">, adhering to </w:t>
            </w:r>
            <w:r w:rsidRPr="00926A4D">
              <w:t>social</w:t>
            </w:r>
            <w:r w:rsidR="00090169">
              <w:t>-</w:t>
            </w:r>
            <w:r w:rsidRPr="00926A4D">
              <w:t xml:space="preserve">distancing </w:t>
            </w:r>
            <w:r w:rsidR="00090169">
              <w:t>advice</w:t>
            </w:r>
          </w:p>
        </w:tc>
        <w:tc>
          <w:tcPr>
            <w:tcW w:w="1786" w:type="pct"/>
            <w:hideMark/>
          </w:tcPr>
          <w:p w14:paraId="364BD26E" w14:textId="77777777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>Notes</w:t>
            </w:r>
          </w:p>
        </w:tc>
      </w:tr>
      <w:tr w:rsidR="00BB2AEC" w:rsidRPr="00926A4D" w14:paraId="756216FD" w14:textId="77777777" w:rsidTr="002C006B">
        <w:tc>
          <w:tcPr>
            <w:tcW w:w="944" w:type="pct"/>
          </w:tcPr>
          <w:p w14:paraId="62FCEC76" w14:textId="77777777" w:rsidR="00BB2AEC" w:rsidRDefault="00BB2AEC" w:rsidP="00BB2AEC">
            <w:pPr>
              <w:pStyle w:val="VCAAtablecondensed"/>
              <w:rPr>
                <w:b/>
                <w:bCs/>
              </w:rPr>
            </w:pPr>
            <w:r w:rsidRPr="00090169">
              <w:rPr>
                <w:b/>
                <w:bCs/>
              </w:rPr>
              <w:t>Outcome 1</w:t>
            </w:r>
          </w:p>
          <w:p w14:paraId="5579E53D" w14:textId="5B5987FE" w:rsidR="00BB2AEC" w:rsidRPr="00EE24EA" w:rsidRDefault="00BB2AEC" w:rsidP="00D77066">
            <w:pPr>
              <w:pStyle w:val="VCAAtablecondensed"/>
            </w:pPr>
            <w:r w:rsidRPr="00174322">
              <w:t>Explain and evaluate how relationship</w:t>
            </w:r>
            <w:r w:rsidR="00D77066">
              <w:t xml:space="preserve">s </w:t>
            </w:r>
            <w:r w:rsidRPr="00174322">
              <w:t>with Australian outdoor environments</w:t>
            </w:r>
            <w:r w:rsidR="00D77066">
              <w:t xml:space="preserve"> </w:t>
            </w:r>
            <w:r w:rsidRPr="00174322">
              <w:t>have changed over time, with reference</w:t>
            </w:r>
            <w:r w:rsidR="00D77066">
              <w:t xml:space="preserve"> </w:t>
            </w:r>
            <w:r w:rsidRPr="00174322">
              <w:t>to specific outdoor experiences.</w:t>
            </w:r>
          </w:p>
        </w:tc>
        <w:tc>
          <w:tcPr>
            <w:tcW w:w="1170" w:type="pct"/>
          </w:tcPr>
          <w:p w14:paraId="4DA6AFEC" w14:textId="4A1FF08A" w:rsidR="00BB2AEC" w:rsidRPr="00D77066" w:rsidRDefault="00BB2AEC" w:rsidP="00D77066">
            <w:pPr>
              <w:pStyle w:val="VCAAtablecondensedbullet"/>
            </w:pPr>
            <w:r w:rsidRPr="00174322">
              <w:t>A journal or report demonstrating links between</w:t>
            </w:r>
            <w:r w:rsidR="00D77066">
              <w:t xml:space="preserve"> </w:t>
            </w:r>
            <w:r w:rsidRPr="00D77066">
              <w:t>theoretical content studied and practical experiences</w:t>
            </w:r>
            <w:r w:rsidR="00D77066">
              <w:t xml:space="preserve"> </w:t>
            </w:r>
            <w:r w:rsidRPr="00D77066">
              <w:t>undertaken</w:t>
            </w:r>
            <w:r w:rsidR="00D77066">
              <w:t>.</w:t>
            </w:r>
          </w:p>
          <w:p w14:paraId="3E6FBDB8" w14:textId="4900CDDE" w:rsidR="00BB2AEC" w:rsidRPr="00174322" w:rsidRDefault="00D77066" w:rsidP="00D77066">
            <w:pPr>
              <w:pStyle w:val="VCAAtablecondensedbullet"/>
            </w:pPr>
            <w:r>
              <w:t>A</w:t>
            </w:r>
            <w:r w:rsidR="00BB2AEC" w:rsidRPr="00174322">
              <w:t>t least one task from the following:</w:t>
            </w:r>
          </w:p>
          <w:p w14:paraId="5FCE0679" w14:textId="311A5364" w:rsidR="00BB2AEC" w:rsidRPr="00174322" w:rsidRDefault="00BB2AEC" w:rsidP="00D77066">
            <w:pPr>
              <w:pStyle w:val="VCAAtablecondensedbullet2"/>
            </w:pPr>
            <w:r w:rsidRPr="00174322">
              <w:t xml:space="preserve">a case </w:t>
            </w:r>
            <w:proofErr w:type="gramStart"/>
            <w:r w:rsidRPr="00174322">
              <w:t>study</w:t>
            </w:r>
            <w:proofErr w:type="gramEnd"/>
          </w:p>
          <w:p w14:paraId="7DDB267F" w14:textId="59FDF586" w:rsidR="00BB2AEC" w:rsidRPr="00174322" w:rsidRDefault="00BB2AEC" w:rsidP="00D77066">
            <w:pPr>
              <w:pStyle w:val="VCAAtablecondensedbullet2"/>
            </w:pPr>
            <w:r w:rsidRPr="00174322">
              <w:t>a multimedia presentation or podcast</w:t>
            </w:r>
          </w:p>
          <w:p w14:paraId="0FDDBCD8" w14:textId="7EC0F97B" w:rsidR="00BB2AEC" w:rsidRPr="002C006B" w:rsidRDefault="00BB2AEC" w:rsidP="00D77066">
            <w:pPr>
              <w:pStyle w:val="VCAAtablecondensedbullet2"/>
            </w:pPr>
            <w:r w:rsidRPr="00174322">
              <w:t>a written report.</w:t>
            </w:r>
          </w:p>
        </w:tc>
        <w:tc>
          <w:tcPr>
            <w:tcW w:w="1099" w:type="pct"/>
          </w:tcPr>
          <w:p w14:paraId="63F5D0D5" w14:textId="68595C09" w:rsidR="00D77066" w:rsidRDefault="00BB2AEC" w:rsidP="00D77066">
            <w:pPr>
              <w:pStyle w:val="VCAAtablecondensed"/>
            </w:pPr>
            <w:r w:rsidRPr="00174322">
              <w:t>Outdoor experiences</w:t>
            </w:r>
            <w:r w:rsidR="00D77066">
              <w:t>:</w:t>
            </w:r>
          </w:p>
          <w:p w14:paraId="13B06BDD" w14:textId="490B5AF9" w:rsidR="00BB2AEC" w:rsidRPr="00D77066" w:rsidRDefault="00BB2AEC" w:rsidP="00D77066">
            <w:pPr>
              <w:pStyle w:val="VCAAtablecondensedbullet"/>
            </w:pPr>
            <w:r>
              <w:t>60</w:t>
            </w:r>
            <w:r w:rsidR="00D77066">
              <w:t>–</w:t>
            </w:r>
            <w:proofErr w:type="gramStart"/>
            <w:r>
              <w:t>120 minute</w:t>
            </w:r>
            <w:proofErr w:type="gramEnd"/>
            <w:r>
              <w:t xml:space="preserve"> session, </w:t>
            </w:r>
            <w:r w:rsidR="00D77066">
              <w:t>one</w:t>
            </w:r>
            <w:r>
              <w:t xml:space="preserve"> day per week for a </w:t>
            </w:r>
            <w:r w:rsidR="00D77066">
              <w:t>two-</w:t>
            </w:r>
            <w:r w:rsidRPr="00926A4D">
              <w:t xml:space="preserve"> week period.</w:t>
            </w:r>
          </w:p>
        </w:tc>
        <w:tc>
          <w:tcPr>
            <w:tcW w:w="1786" w:type="pct"/>
          </w:tcPr>
          <w:p w14:paraId="463B8B76" w14:textId="750B7AE6" w:rsidR="00BB2AEC" w:rsidRPr="00D77066" w:rsidRDefault="00BB2AEC" w:rsidP="00D77066">
            <w:pPr>
              <w:pStyle w:val="VCAAtablecondensedbullet"/>
            </w:pPr>
            <w:r>
              <w:t>S</w:t>
            </w:r>
            <w:r w:rsidRPr="0054556A">
              <w:t xml:space="preserve">chools may consider </w:t>
            </w:r>
            <w:r>
              <w:t>a</w:t>
            </w:r>
            <w:r w:rsidRPr="0054556A">
              <w:t xml:space="preserve"> broad scope of practical experiences</w:t>
            </w:r>
            <w:r>
              <w:t xml:space="preserve"> that can be undertaken while observing social distancing requirements. </w:t>
            </w:r>
            <w:r w:rsidRPr="0054556A">
              <w:t xml:space="preserve"> </w:t>
            </w:r>
            <w:r>
              <w:t>Activities</w:t>
            </w:r>
            <w:r w:rsidRPr="0054556A">
              <w:t xml:space="preserve"> such as walks </w:t>
            </w:r>
            <w:r>
              <w:t xml:space="preserve">within the local community, </w:t>
            </w:r>
            <w:r w:rsidRPr="0054556A">
              <w:t>to local parks, waterways, cycling tracks etc.</w:t>
            </w:r>
            <w:r>
              <w:t xml:space="preserve"> may be undertaken with small groups of students.</w:t>
            </w:r>
          </w:p>
        </w:tc>
      </w:tr>
      <w:tr w:rsidR="00BB2AEC" w:rsidRPr="00926A4D" w14:paraId="3D9DB75F" w14:textId="77777777" w:rsidTr="002C006B">
        <w:tc>
          <w:tcPr>
            <w:tcW w:w="944" w:type="pct"/>
          </w:tcPr>
          <w:p w14:paraId="38D5B788" w14:textId="77777777" w:rsidR="00BB2AEC" w:rsidRPr="00174322" w:rsidRDefault="00BB2AEC" w:rsidP="00BB2A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74322">
              <w:rPr>
                <w:rFonts w:ascii="Arial" w:hAnsi="Arial" w:cs="Arial"/>
                <w:b/>
                <w:sz w:val="18"/>
                <w:szCs w:val="18"/>
              </w:rPr>
              <w:t>Outcome 2</w:t>
            </w:r>
          </w:p>
          <w:p w14:paraId="08A49CD6" w14:textId="587D5920" w:rsidR="00BB2AEC" w:rsidRPr="00EE24EA" w:rsidRDefault="00BB2AEC" w:rsidP="00D77066">
            <w:pPr>
              <w:pStyle w:val="VCAAtablecondensed"/>
            </w:pPr>
            <w:proofErr w:type="spellStart"/>
            <w:r w:rsidRPr="00174322">
              <w:t>Analyse</w:t>
            </w:r>
            <w:proofErr w:type="spellEnd"/>
            <w:r w:rsidRPr="00174322">
              <w:t xml:space="preserve"> and evaluate the factors</w:t>
            </w:r>
            <w:r w:rsidR="00D77066">
              <w:t xml:space="preserve"> </w:t>
            </w:r>
            <w:r w:rsidRPr="00174322">
              <w:t>influencing societal relationships with</w:t>
            </w:r>
            <w:r w:rsidR="00D77066">
              <w:t xml:space="preserve"> </w:t>
            </w:r>
            <w:r w:rsidRPr="00174322">
              <w:t>outdoor environments since 1990, with</w:t>
            </w:r>
            <w:r w:rsidR="00D77066">
              <w:t xml:space="preserve"> </w:t>
            </w:r>
            <w:r w:rsidRPr="00174322">
              <w:t>reference to specific outdoor experiences</w:t>
            </w:r>
            <w:r>
              <w:rPr>
                <w:rFonts w:ascii="HelveticaNeueLT-Light" w:hAnsi="HelveticaNeueLT-Light" w:cs="HelveticaNeueLT-Light"/>
              </w:rPr>
              <w:t>.</w:t>
            </w:r>
          </w:p>
        </w:tc>
        <w:tc>
          <w:tcPr>
            <w:tcW w:w="1170" w:type="pct"/>
          </w:tcPr>
          <w:p w14:paraId="2AEA59D9" w14:textId="2B0C4810" w:rsidR="00BB2AEC" w:rsidRPr="00D77066" w:rsidRDefault="00BB2AEC" w:rsidP="00D77066">
            <w:pPr>
              <w:pStyle w:val="VCAAtablecondensedbullet"/>
            </w:pPr>
            <w:r>
              <w:t xml:space="preserve">A </w:t>
            </w:r>
            <w:r w:rsidRPr="00174322">
              <w:t>journal or report demonstrating links between</w:t>
            </w:r>
            <w:r w:rsidR="00D77066">
              <w:t xml:space="preserve"> </w:t>
            </w:r>
            <w:r w:rsidRPr="00D77066">
              <w:t>theoretical content studied and practical experiences</w:t>
            </w:r>
            <w:r w:rsidR="00D77066">
              <w:t xml:space="preserve"> </w:t>
            </w:r>
            <w:r w:rsidRPr="00D77066">
              <w:t>undertaken</w:t>
            </w:r>
          </w:p>
          <w:p w14:paraId="50D7FB59" w14:textId="38ABBC34" w:rsidR="00BB2AEC" w:rsidRPr="00174322" w:rsidRDefault="00D77066" w:rsidP="00D77066">
            <w:pPr>
              <w:pStyle w:val="VCAAtablecondensedbullet"/>
            </w:pPr>
            <w:r>
              <w:t>A</w:t>
            </w:r>
            <w:r w:rsidR="00BB2AEC" w:rsidRPr="00174322">
              <w:t>t least one task from the following:</w:t>
            </w:r>
          </w:p>
          <w:p w14:paraId="08D26EC3" w14:textId="0D6F7572" w:rsidR="00BB2AEC" w:rsidRPr="00174322" w:rsidRDefault="00BB2AEC" w:rsidP="00D77066">
            <w:pPr>
              <w:pStyle w:val="VCAAtablecondensedbullet2"/>
            </w:pPr>
            <w:r w:rsidRPr="00174322">
              <w:t>data analysis</w:t>
            </w:r>
          </w:p>
          <w:p w14:paraId="5487BB35" w14:textId="045A818F" w:rsidR="00BB2AEC" w:rsidRPr="00460653" w:rsidRDefault="00BB2AEC" w:rsidP="00D77066">
            <w:pPr>
              <w:pStyle w:val="VCAAtablecondensedbullet2"/>
            </w:pPr>
            <w:r w:rsidRPr="00174322">
              <w:t>structured questions.</w:t>
            </w:r>
          </w:p>
        </w:tc>
        <w:tc>
          <w:tcPr>
            <w:tcW w:w="1099" w:type="pct"/>
          </w:tcPr>
          <w:p w14:paraId="05532F24" w14:textId="77777777" w:rsidR="00D77066" w:rsidRDefault="00BB2AEC" w:rsidP="00D77066">
            <w:pPr>
              <w:pStyle w:val="VCAAtablecondensed"/>
            </w:pPr>
            <w:r w:rsidRPr="00174322">
              <w:t>Outdoor experiences</w:t>
            </w:r>
            <w:r>
              <w:t>:</w:t>
            </w:r>
          </w:p>
          <w:p w14:paraId="7BAE8D1E" w14:textId="4A7727C3" w:rsidR="00BB2AEC" w:rsidRPr="00EE24EA" w:rsidRDefault="00BB2AEC" w:rsidP="00D77066">
            <w:pPr>
              <w:pStyle w:val="VCAAtablecondensedbullet"/>
            </w:pPr>
            <w:r>
              <w:t>60</w:t>
            </w:r>
            <w:r w:rsidR="00D77066">
              <w:t>–</w:t>
            </w:r>
            <w:r>
              <w:t xml:space="preserve">120 minutes session, </w:t>
            </w:r>
            <w:r w:rsidR="00D77066">
              <w:t>one</w:t>
            </w:r>
            <w:r>
              <w:t xml:space="preserve"> days per week for a </w:t>
            </w:r>
            <w:r w:rsidR="00D77066">
              <w:t>two-</w:t>
            </w:r>
            <w:r w:rsidRPr="00926A4D">
              <w:t>week period.</w:t>
            </w:r>
          </w:p>
        </w:tc>
        <w:tc>
          <w:tcPr>
            <w:tcW w:w="1786" w:type="pct"/>
          </w:tcPr>
          <w:p w14:paraId="2A2DE457" w14:textId="3E0596EF" w:rsidR="00BB2AEC" w:rsidRPr="00D77066" w:rsidRDefault="00BB2AEC" w:rsidP="00D77066">
            <w:pPr>
              <w:pStyle w:val="VCAAtablecondensedbullet"/>
            </w:pPr>
            <w:r>
              <w:t>S</w:t>
            </w:r>
            <w:r w:rsidRPr="0054556A">
              <w:t xml:space="preserve">chools may consider </w:t>
            </w:r>
            <w:r>
              <w:t>a</w:t>
            </w:r>
            <w:r w:rsidRPr="0054556A">
              <w:t xml:space="preserve"> broad scope of practical experiences</w:t>
            </w:r>
            <w:r>
              <w:t xml:space="preserve"> that can be undertaken while observing social distancing requirements. </w:t>
            </w:r>
            <w:r w:rsidRPr="0054556A">
              <w:t xml:space="preserve"> </w:t>
            </w:r>
            <w:r>
              <w:t>Activities</w:t>
            </w:r>
            <w:r w:rsidRPr="0054556A">
              <w:t xml:space="preserve"> such as walks </w:t>
            </w:r>
            <w:r>
              <w:t xml:space="preserve">within the local community, </w:t>
            </w:r>
            <w:r w:rsidRPr="0054556A">
              <w:t>to local parks, waterways, cycling tracks etc.</w:t>
            </w:r>
            <w:r>
              <w:t xml:space="preserve"> may be undertaken with small groups of students.</w:t>
            </w:r>
          </w:p>
        </w:tc>
      </w:tr>
    </w:tbl>
    <w:p w14:paraId="6BE0BB59" w14:textId="77777777" w:rsidR="007D1D9E" w:rsidRPr="007D1D9E" w:rsidRDefault="007D1D9E" w:rsidP="00467064"/>
    <w:sectPr w:rsidR="007D1D9E" w:rsidRPr="007D1D9E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BB2AEC" w:rsidRDefault="00BB2AEC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BB2AEC" w:rsidRDefault="00BB2AE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BB2AEC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BB2AEC" w:rsidRPr="00D06414" w:rsidRDefault="00BB2AEC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BB2AEC" w:rsidRPr="00D06414" w:rsidRDefault="00BB2AE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BB2AEC" w:rsidRPr="00D06414" w:rsidRDefault="00BB2AE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BB2AEC" w:rsidRPr="00D06414" w:rsidRDefault="00BB2AE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B2AEC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BB2AEC" w:rsidRPr="00D06414" w:rsidRDefault="00BB2AE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BB2AEC" w:rsidRPr="00D06414" w:rsidRDefault="00BB2AEC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BB2AEC" w:rsidRPr="00D06414" w:rsidRDefault="00BB2AEC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BB2AEC" w:rsidRPr="00D06414" w:rsidRDefault="00BB2AEC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BB2AEC" w:rsidRDefault="00BB2AEC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BB2AEC" w:rsidRDefault="00BB2AE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4CA9730D" w:rsidR="00BB2AEC" w:rsidRPr="00D86DE4" w:rsidRDefault="00BB2AEC" w:rsidP="00D86DE4">
    <w:pPr>
      <w:pStyle w:val="VCAAcaptionsandfootnotes"/>
      <w:rPr>
        <w:color w:val="999999" w:themeColor="accent2"/>
      </w:rPr>
    </w:pPr>
    <w:r>
      <w:t>Agricultural and Horticultural Studies AH03-Supplementary advice-24 April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BB2AEC" w:rsidRPr="009370BC" w:rsidRDefault="00BB2AEC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0C04063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716915"/>
          <wp:effectExtent l="0" t="0" r="635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447C"/>
    <w:multiLevelType w:val="hybridMultilevel"/>
    <w:tmpl w:val="34449CEC"/>
    <w:lvl w:ilvl="0" w:tplc="D0C84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7B21"/>
    <w:multiLevelType w:val="hybridMultilevel"/>
    <w:tmpl w:val="C6542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34A5D08"/>
    <w:multiLevelType w:val="hybridMultilevel"/>
    <w:tmpl w:val="98B6E312"/>
    <w:lvl w:ilvl="0" w:tplc="D0C84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D7779"/>
    <w:multiLevelType w:val="hybridMultilevel"/>
    <w:tmpl w:val="4880A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90169"/>
    <w:rsid w:val="000A1A0E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B47B9"/>
    <w:rsid w:val="002C00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653"/>
    <w:rsid w:val="0046078D"/>
    <w:rsid w:val="00467064"/>
    <w:rsid w:val="00495C80"/>
    <w:rsid w:val="004A2ED8"/>
    <w:rsid w:val="004F5BDA"/>
    <w:rsid w:val="0050324D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7425A"/>
    <w:rsid w:val="00781FB1"/>
    <w:rsid w:val="007D1B6D"/>
    <w:rsid w:val="007D1D9E"/>
    <w:rsid w:val="007F2E9E"/>
    <w:rsid w:val="00813C37"/>
    <w:rsid w:val="008154B5"/>
    <w:rsid w:val="00823962"/>
    <w:rsid w:val="00852719"/>
    <w:rsid w:val="00860115"/>
    <w:rsid w:val="0088783C"/>
    <w:rsid w:val="008D327A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2AEC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066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E242A"/>
    <w:rsid w:val="00F17FDE"/>
    <w:rsid w:val="00F40D53"/>
    <w:rsid w:val="00F4525C"/>
    <w:rsid w:val="00F50D86"/>
    <w:rsid w:val="00F9527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7D1D9E"/>
    <w:pPr>
      <w:spacing w:after="0" w:line="240" w:lineRule="auto"/>
      <w:ind w:left="720"/>
    </w:pPr>
    <w:rPr>
      <w:rFonts w:ascii="Calibri" w:hAnsi="Calibri" w:cs="Calibri"/>
      <w:lang w:val="en-AU"/>
    </w:rPr>
  </w:style>
  <w:style w:type="paragraph" w:customStyle="1" w:styleId="Default">
    <w:name w:val="Default"/>
    <w:rsid w:val="007D1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BB2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AEC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03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curriculum/vce/vce-study-designs/outdoor-and-environmentalstudies/Pages/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8315ED6-9F49-4BB7-BDF4-7D298606C474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ABE539-FD27-4A00-8426-BC5AA5B7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and Environmental Studies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and Environmental Studies</dc:title>
  <dc:subject>Supplementary advice for teachers</dc:subject>
  <dc:creator>Victorian Curriculum and Assessment Authority</dc:creator>
  <cp:keywords>Outdoor and Environmental Studies; OS03; Victorian Curriculum and Assessment Authority; VCAA; Victorian Certificate of Education; VCE; COVID-19; coronavirus</cp:keywords>
  <cp:lastModifiedBy>Mattei, Tina T</cp:lastModifiedBy>
  <cp:revision>5</cp:revision>
  <cp:lastPrinted>2015-05-15T02:36:00Z</cp:lastPrinted>
  <dcterms:created xsi:type="dcterms:W3CDTF">2020-04-24T03:44:00Z</dcterms:created>
  <dcterms:modified xsi:type="dcterms:W3CDTF">2020-04-24T05:32:00Z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