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040ADE74" w:rsidR="00F4525C" w:rsidRDefault="000F0FE6" w:rsidP="009B61E5">
          <w:pPr>
            <w:pStyle w:val="VCAADocumenttitle"/>
          </w:pPr>
          <w:r w:rsidRPr="000F0FE6">
            <w:t>Unit 3 Personal Numeracy, AOS 3: Quantity &amp; Measures Tiny House</w:t>
          </w:r>
        </w:p>
      </w:sdtContent>
    </w:sdt>
    <w:tbl>
      <w:tblPr>
        <w:tblStyle w:val="TableGrid12"/>
        <w:tblW w:w="21541" w:type="dxa"/>
        <w:tblLayout w:type="fixed"/>
        <w:tblLook w:val="04A0" w:firstRow="1" w:lastRow="0" w:firstColumn="1" w:lastColumn="0" w:noHBand="0" w:noVBand="1"/>
      </w:tblPr>
      <w:tblGrid>
        <w:gridCol w:w="680"/>
        <w:gridCol w:w="2096"/>
        <w:gridCol w:w="2097"/>
        <w:gridCol w:w="2097"/>
        <w:gridCol w:w="2097"/>
        <w:gridCol w:w="2268"/>
        <w:gridCol w:w="2268"/>
        <w:gridCol w:w="2268"/>
        <w:gridCol w:w="2268"/>
        <w:gridCol w:w="3402"/>
      </w:tblGrid>
      <w:tr w:rsidR="000F0FE6" w:rsidRPr="000F0FE6" w14:paraId="66C1A68E" w14:textId="77777777" w:rsidTr="00346E2B">
        <w:trPr>
          <w:cantSplit/>
          <w:trHeight w:val="2390"/>
        </w:trPr>
        <w:tc>
          <w:tcPr>
            <w:tcW w:w="680" w:type="dxa"/>
            <w:shd w:val="clear" w:color="auto" w:fill="auto"/>
            <w:textDirection w:val="tbRl"/>
            <w:vAlign w:val="center"/>
          </w:tcPr>
          <w:p w14:paraId="761F2FFC" w14:textId="77777777" w:rsidR="000F0FE6" w:rsidRPr="000F0FE6" w:rsidRDefault="000F0FE6" w:rsidP="000F0FE6">
            <w:pPr>
              <w:ind w:left="113" w:right="113"/>
              <w:jc w:val="center"/>
              <w:rPr>
                <w:rFonts w:ascii="Arial Narrow" w:eastAsia="Times New Roman" w:hAnsi="Arial Narrow" w:cs="Arial"/>
                <w:b/>
                <w:sz w:val="20"/>
                <w:lang w:eastAsia="en-AU"/>
              </w:rPr>
            </w:pPr>
            <w:bookmarkStart w:id="0" w:name="TemplateOverview"/>
            <w:bookmarkEnd w:id="0"/>
            <w:r w:rsidRPr="000F0FE6">
              <w:rPr>
                <w:rFonts w:ascii="Arial Narrow" w:eastAsia="Times New Roman" w:hAnsi="Arial Narrow" w:cs="Arial"/>
                <w:b/>
                <w:sz w:val="20"/>
                <w:lang w:eastAsia="en-AU"/>
              </w:rPr>
              <w:t>Excelling</w:t>
            </w:r>
          </w:p>
        </w:tc>
        <w:tc>
          <w:tcPr>
            <w:tcW w:w="2096" w:type="dxa"/>
            <w:shd w:val="clear" w:color="auto" w:fill="auto"/>
            <w:vAlign w:val="center"/>
          </w:tcPr>
          <w:p w14:paraId="2580C166"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 xml:space="preserve">Can apply prior knowledge and experience to estimate measurements for unfamiliar items. </w:t>
            </w:r>
          </w:p>
          <w:p w14:paraId="57881A6E" w14:textId="77777777" w:rsidR="000F0FE6" w:rsidRPr="000F0FE6" w:rsidRDefault="000F0FE6" w:rsidP="000F0FE6">
            <w:pPr>
              <w:jc w:val="center"/>
              <w:rPr>
                <w:rFonts w:ascii="Arial Narrow" w:eastAsia="Times New Roman" w:hAnsi="Arial Narrow" w:cs="Times New Roman"/>
                <w:sz w:val="18"/>
                <w:szCs w:val="18"/>
                <w:lang w:eastAsia="en-AU"/>
              </w:rPr>
            </w:pPr>
          </w:p>
          <w:p w14:paraId="1B6AC687"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independently select the appropriate tool for measuring a range of objects and distances with appropriate accuracy and tolerance.</w:t>
            </w:r>
          </w:p>
        </w:tc>
        <w:tc>
          <w:tcPr>
            <w:tcW w:w="2097" w:type="dxa"/>
            <w:shd w:val="clear" w:color="auto" w:fill="auto"/>
            <w:vAlign w:val="center"/>
          </w:tcPr>
          <w:p w14:paraId="6A4EF757"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Selects and applies both formal and informal strategies for converting between metric and non-metric units of measurement.</w:t>
            </w:r>
          </w:p>
        </w:tc>
        <w:tc>
          <w:tcPr>
            <w:tcW w:w="2097" w:type="dxa"/>
            <w:shd w:val="clear" w:color="auto" w:fill="auto"/>
            <w:vAlign w:val="center"/>
          </w:tcPr>
          <w:p w14:paraId="7273BDB0"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Selects and uses the appropriate formulae to undertake measurement calculations of complex shapes, including unfamiliar compound shapes.</w:t>
            </w:r>
          </w:p>
        </w:tc>
        <w:tc>
          <w:tcPr>
            <w:tcW w:w="2097" w:type="dxa"/>
            <w:tcBorders>
              <w:right w:val="single" w:sz="24" w:space="0" w:color="auto"/>
            </w:tcBorders>
            <w:shd w:val="clear" w:color="auto" w:fill="auto"/>
            <w:vAlign w:val="center"/>
          </w:tcPr>
          <w:p w14:paraId="5D40F728"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read, interpret and calculate with unfamiliar temperature measurements</w:t>
            </w:r>
          </w:p>
          <w:p w14:paraId="20569ADE" w14:textId="77777777" w:rsidR="000F0FE6" w:rsidRPr="000F0FE6" w:rsidRDefault="000F0FE6" w:rsidP="000F0FE6">
            <w:pPr>
              <w:jc w:val="center"/>
              <w:rPr>
                <w:rFonts w:ascii="Arial Narrow" w:eastAsia="Times New Roman" w:hAnsi="Arial Narrow" w:cs="Times New Roman"/>
                <w:sz w:val="18"/>
                <w:szCs w:val="18"/>
                <w:lang w:eastAsia="en-AU"/>
              </w:rPr>
            </w:pPr>
          </w:p>
          <w:p w14:paraId="357FE840"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read and interpret 12-hour and 24-hour time across unfamiliar time zones</w:t>
            </w:r>
          </w:p>
          <w:p w14:paraId="06FDC289"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perform calculations using multiple units of time and calculate complex time durations.</w:t>
            </w:r>
          </w:p>
        </w:tc>
        <w:tc>
          <w:tcPr>
            <w:tcW w:w="2268" w:type="dxa"/>
            <w:tcBorders>
              <w:left w:val="single" w:sz="24" w:space="0" w:color="auto"/>
            </w:tcBorders>
            <w:shd w:val="clear" w:color="auto" w:fill="auto"/>
            <w:vAlign w:val="center"/>
          </w:tcPr>
          <w:p w14:paraId="501CA8B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Detailed identification and interpretation of key mathematical information in the context of the task and the mathematical processes needed to solve the problem</w:t>
            </w:r>
          </w:p>
          <w:p w14:paraId="7681F927" w14:textId="77777777" w:rsidR="000F0FE6" w:rsidRPr="000F0FE6" w:rsidRDefault="000F0FE6" w:rsidP="000F0FE6">
            <w:pPr>
              <w:jc w:val="center"/>
              <w:rPr>
                <w:rFonts w:ascii="Arial Narrow" w:eastAsia="Times New Roman" w:hAnsi="Arial Narrow" w:cs="Times New Roman"/>
                <w:sz w:val="18"/>
                <w:szCs w:val="18"/>
                <w:lang w:eastAsia="en-AU"/>
              </w:rPr>
            </w:pPr>
          </w:p>
          <w:p w14:paraId="73404A98"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Develops a detailed and explicit plan to independently complete the task</w:t>
            </w:r>
          </w:p>
        </w:tc>
        <w:tc>
          <w:tcPr>
            <w:tcW w:w="2268" w:type="dxa"/>
            <w:shd w:val="clear" w:color="auto" w:fill="auto"/>
            <w:vAlign w:val="center"/>
          </w:tcPr>
          <w:p w14:paraId="047AAC1F"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Independently selects and flexibly uses a variety of mathematical actions, processes and appropriate tools and technology to complete the task.</w:t>
            </w:r>
          </w:p>
        </w:tc>
        <w:tc>
          <w:tcPr>
            <w:tcW w:w="2268" w:type="dxa"/>
            <w:shd w:val="clear" w:color="auto" w:fill="auto"/>
            <w:vAlign w:val="center"/>
          </w:tcPr>
          <w:p w14:paraId="7129E153"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Thoroughly checks and critically reflects on all results to see if they are as expected.</w:t>
            </w:r>
          </w:p>
          <w:p w14:paraId="6EB6129A" w14:textId="77777777" w:rsidR="000F0FE6" w:rsidRPr="000F0FE6" w:rsidRDefault="000F0FE6" w:rsidP="000F0FE6">
            <w:pPr>
              <w:jc w:val="center"/>
              <w:rPr>
                <w:rFonts w:ascii="Arial Narrow" w:eastAsia="Times New Roman" w:hAnsi="Arial Narrow" w:cs="Times New Roman"/>
                <w:sz w:val="18"/>
                <w:szCs w:val="18"/>
                <w:lang w:eastAsia="en-AU"/>
              </w:rPr>
            </w:pPr>
          </w:p>
          <w:p w14:paraId="59F49C0C"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Independently evaluates the appropriateness &amp; reasonableness of answers and adjusts where necessary.</w:t>
            </w:r>
          </w:p>
        </w:tc>
        <w:tc>
          <w:tcPr>
            <w:tcW w:w="2268" w:type="dxa"/>
            <w:tcBorders>
              <w:right w:val="single" w:sz="24" w:space="0" w:color="auto"/>
            </w:tcBorders>
            <w:shd w:val="clear" w:color="auto" w:fill="auto"/>
            <w:vAlign w:val="center"/>
          </w:tcPr>
          <w:p w14:paraId="18136D2D"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 xml:space="preserve">Uses formal written mathematical representations and general language to document, interpret and communicate results of the task. </w:t>
            </w:r>
          </w:p>
        </w:tc>
        <w:tc>
          <w:tcPr>
            <w:tcW w:w="3402" w:type="dxa"/>
            <w:tcBorders>
              <w:left w:val="single" w:sz="24" w:space="0" w:color="auto"/>
            </w:tcBorders>
            <w:shd w:val="clear" w:color="auto" w:fill="auto"/>
            <w:vAlign w:val="center"/>
          </w:tcPr>
          <w:p w14:paraId="3C5011A4"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Careful consideration and selection of the different tools and technology available for collecting, organising, displaying and analysing data.</w:t>
            </w:r>
          </w:p>
        </w:tc>
      </w:tr>
      <w:tr w:rsidR="000F0FE6" w:rsidRPr="000F0FE6" w14:paraId="6CB0D186" w14:textId="77777777" w:rsidTr="00346E2B">
        <w:trPr>
          <w:cantSplit/>
          <w:trHeight w:val="2402"/>
        </w:trPr>
        <w:tc>
          <w:tcPr>
            <w:tcW w:w="680" w:type="dxa"/>
            <w:shd w:val="clear" w:color="auto" w:fill="auto"/>
            <w:textDirection w:val="tbRl"/>
            <w:vAlign w:val="center"/>
          </w:tcPr>
          <w:p w14:paraId="2E1F7798" w14:textId="77777777" w:rsidR="000F0FE6" w:rsidRPr="000F0FE6" w:rsidRDefault="000F0FE6" w:rsidP="000F0FE6">
            <w:pPr>
              <w:ind w:left="113" w:right="113"/>
              <w:jc w:val="center"/>
              <w:rPr>
                <w:rFonts w:ascii="Arial Narrow" w:eastAsia="Times New Roman" w:hAnsi="Arial Narrow" w:cs="Arial"/>
                <w:b/>
                <w:sz w:val="20"/>
                <w:lang w:eastAsia="en-AU"/>
              </w:rPr>
            </w:pPr>
            <w:r w:rsidRPr="000F0FE6">
              <w:rPr>
                <w:rFonts w:ascii="Arial Narrow" w:eastAsia="Times New Roman" w:hAnsi="Arial Narrow" w:cs="Arial"/>
                <w:b/>
                <w:sz w:val="20"/>
                <w:lang w:eastAsia="en-AU"/>
              </w:rPr>
              <w:t>Achieving</w:t>
            </w:r>
          </w:p>
        </w:tc>
        <w:tc>
          <w:tcPr>
            <w:tcW w:w="2096" w:type="dxa"/>
            <w:shd w:val="clear" w:color="auto" w:fill="auto"/>
            <w:vAlign w:val="center"/>
          </w:tcPr>
          <w:p w14:paraId="083BCC2D"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estimate and perform a range of routine measurements and reflect on accuracy of the estimates.</w:t>
            </w:r>
          </w:p>
          <w:p w14:paraId="79149889" w14:textId="77777777" w:rsidR="000F0FE6" w:rsidRPr="000F0FE6" w:rsidRDefault="000F0FE6" w:rsidP="000F0FE6">
            <w:pPr>
              <w:jc w:val="center"/>
              <w:rPr>
                <w:rFonts w:ascii="Arial Narrow" w:eastAsia="Times New Roman" w:hAnsi="Arial Narrow" w:cs="Times New Roman"/>
                <w:sz w:val="18"/>
                <w:szCs w:val="18"/>
                <w:lang w:eastAsia="en-AU"/>
              </w:rPr>
            </w:pPr>
          </w:p>
          <w:p w14:paraId="262CB6D5"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demonstrate understanding of accuracy and understanding in measurements</w:t>
            </w:r>
          </w:p>
        </w:tc>
        <w:tc>
          <w:tcPr>
            <w:tcW w:w="2097" w:type="dxa"/>
            <w:shd w:val="clear" w:color="auto" w:fill="auto"/>
            <w:vAlign w:val="center"/>
          </w:tcPr>
          <w:p w14:paraId="1C6ED4FC"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use a variety of strategies to convert between metric units of measurement.</w:t>
            </w:r>
          </w:p>
          <w:p w14:paraId="62ED8596" w14:textId="77777777" w:rsidR="000F0FE6" w:rsidRPr="000F0FE6" w:rsidRDefault="000F0FE6" w:rsidP="000F0FE6">
            <w:pPr>
              <w:jc w:val="center"/>
              <w:rPr>
                <w:rFonts w:ascii="Arial Narrow" w:eastAsia="Times New Roman" w:hAnsi="Arial Narrow" w:cs="Times New Roman"/>
                <w:sz w:val="18"/>
                <w:szCs w:val="18"/>
                <w:lang w:eastAsia="en-AU"/>
              </w:rPr>
            </w:pPr>
          </w:p>
          <w:p w14:paraId="4D2AB49E"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use informal methods to convert between metric and non-metric units where relevant.</w:t>
            </w:r>
          </w:p>
        </w:tc>
        <w:tc>
          <w:tcPr>
            <w:tcW w:w="2097" w:type="dxa"/>
            <w:shd w:val="clear" w:color="auto" w:fill="auto"/>
            <w:vAlign w:val="center"/>
          </w:tcPr>
          <w:p w14:paraId="7A5FE52A"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use common and routine formulae to undertake calculations of perimeter, area, volume and capacity for routine more complex shapes, including compound shapes and the use of circular measurements</w:t>
            </w:r>
          </w:p>
        </w:tc>
        <w:tc>
          <w:tcPr>
            <w:tcW w:w="2097" w:type="dxa"/>
            <w:tcBorders>
              <w:right w:val="single" w:sz="24" w:space="0" w:color="auto"/>
            </w:tcBorders>
            <w:shd w:val="clear" w:color="auto" w:fill="auto"/>
            <w:vAlign w:val="center"/>
          </w:tcPr>
          <w:p w14:paraId="4BE77F4F"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read, interpret and calculate with temperature measurements</w:t>
            </w:r>
          </w:p>
          <w:p w14:paraId="0B0BC7B4" w14:textId="77777777" w:rsidR="000F0FE6" w:rsidRPr="000F0FE6" w:rsidRDefault="000F0FE6" w:rsidP="000F0FE6">
            <w:pPr>
              <w:jc w:val="center"/>
              <w:rPr>
                <w:rFonts w:ascii="Arial Narrow" w:eastAsia="Times New Roman" w:hAnsi="Arial Narrow" w:cs="Times New Roman"/>
                <w:sz w:val="18"/>
                <w:szCs w:val="18"/>
                <w:lang w:eastAsia="en-AU"/>
              </w:rPr>
            </w:pPr>
          </w:p>
          <w:p w14:paraId="5DF8FB3D"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read and interpret analogue and digital time, including 24-hour time.</w:t>
            </w:r>
          </w:p>
          <w:p w14:paraId="33CB2B80" w14:textId="77777777" w:rsidR="000F0FE6" w:rsidRPr="000F0FE6" w:rsidRDefault="000F0FE6" w:rsidP="000F0FE6">
            <w:pPr>
              <w:jc w:val="center"/>
              <w:rPr>
                <w:rFonts w:ascii="Arial Narrow" w:eastAsia="Times New Roman" w:hAnsi="Arial Narrow" w:cs="Times New Roman"/>
                <w:sz w:val="18"/>
                <w:szCs w:val="18"/>
                <w:lang w:eastAsia="en-AU"/>
              </w:rPr>
            </w:pPr>
          </w:p>
          <w:p w14:paraId="1450AD43"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perform calculations of time involving different time zones and calculate time durations</w:t>
            </w:r>
          </w:p>
        </w:tc>
        <w:tc>
          <w:tcPr>
            <w:tcW w:w="2268" w:type="dxa"/>
            <w:tcBorders>
              <w:left w:val="single" w:sz="24" w:space="0" w:color="auto"/>
            </w:tcBorders>
            <w:shd w:val="clear" w:color="auto" w:fill="auto"/>
            <w:vAlign w:val="center"/>
          </w:tcPr>
          <w:p w14:paraId="76139C0F"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identify and interpret the relevant mathematical information in the context of the task and the mathematical processes needed to solve the problem</w:t>
            </w:r>
          </w:p>
          <w:p w14:paraId="6956D88B" w14:textId="77777777" w:rsidR="000F0FE6" w:rsidRPr="000F0FE6" w:rsidRDefault="000F0FE6" w:rsidP="000F0FE6">
            <w:pPr>
              <w:jc w:val="center"/>
              <w:rPr>
                <w:rFonts w:ascii="Arial Narrow" w:eastAsia="Times New Roman" w:hAnsi="Arial Narrow" w:cs="Times New Roman"/>
                <w:sz w:val="18"/>
                <w:szCs w:val="18"/>
                <w:lang w:eastAsia="en-AU"/>
              </w:rPr>
            </w:pPr>
          </w:p>
          <w:p w14:paraId="43BE3851"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Develops a clear, detailed plan to complete the task.</w:t>
            </w:r>
          </w:p>
        </w:tc>
        <w:tc>
          <w:tcPr>
            <w:tcW w:w="2268" w:type="dxa"/>
            <w:shd w:val="clear" w:color="auto" w:fill="auto"/>
            <w:vAlign w:val="center"/>
          </w:tcPr>
          <w:p w14:paraId="738363DF"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Selects and flexibly uses a variety of mathematical actions, processes and appropriate tools and technology to complete the task.</w:t>
            </w:r>
          </w:p>
        </w:tc>
        <w:tc>
          <w:tcPr>
            <w:tcW w:w="2268" w:type="dxa"/>
            <w:shd w:val="clear" w:color="auto" w:fill="auto"/>
            <w:vAlign w:val="center"/>
          </w:tcPr>
          <w:p w14:paraId="129B6A29"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check and critically reflect on results to see if they are as expected</w:t>
            </w:r>
          </w:p>
          <w:p w14:paraId="6F445C04" w14:textId="77777777" w:rsidR="000F0FE6" w:rsidRPr="000F0FE6" w:rsidRDefault="000F0FE6" w:rsidP="000F0FE6">
            <w:pPr>
              <w:jc w:val="center"/>
              <w:rPr>
                <w:rFonts w:ascii="Arial Narrow" w:eastAsia="Times New Roman" w:hAnsi="Arial Narrow" w:cs="Times New Roman"/>
                <w:sz w:val="18"/>
                <w:szCs w:val="18"/>
                <w:lang w:eastAsia="en-AU"/>
              </w:rPr>
            </w:pPr>
          </w:p>
          <w:p w14:paraId="2C8AFD57"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Independently makes decisions about the appropriateness &amp; reasonableness of answers and adjusts where necessary.</w:t>
            </w:r>
          </w:p>
        </w:tc>
        <w:tc>
          <w:tcPr>
            <w:tcW w:w="2268" w:type="dxa"/>
            <w:tcBorders>
              <w:right w:val="single" w:sz="24" w:space="0" w:color="auto"/>
            </w:tcBorders>
            <w:shd w:val="clear" w:color="auto" w:fill="auto"/>
            <w:vAlign w:val="center"/>
          </w:tcPr>
          <w:p w14:paraId="6B25BE0E"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Uses informal and formal mathematical representation and general language to present and discuss the results of the task</w:t>
            </w:r>
          </w:p>
        </w:tc>
        <w:tc>
          <w:tcPr>
            <w:tcW w:w="3402" w:type="dxa"/>
            <w:tcBorders>
              <w:left w:val="single" w:sz="24" w:space="0" w:color="auto"/>
            </w:tcBorders>
            <w:shd w:val="clear" w:color="auto" w:fill="auto"/>
            <w:vAlign w:val="center"/>
          </w:tcPr>
          <w:p w14:paraId="21F91BE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Appropriate selection and use of tools and technology for collecting, organising, displaying and analysing data</w:t>
            </w:r>
          </w:p>
        </w:tc>
      </w:tr>
      <w:tr w:rsidR="000F0FE6" w:rsidRPr="000F0FE6" w14:paraId="688B0190" w14:textId="77777777" w:rsidTr="00346E2B">
        <w:trPr>
          <w:cantSplit/>
          <w:trHeight w:val="2377"/>
        </w:trPr>
        <w:tc>
          <w:tcPr>
            <w:tcW w:w="680" w:type="dxa"/>
            <w:shd w:val="clear" w:color="auto" w:fill="auto"/>
            <w:textDirection w:val="tbRl"/>
            <w:vAlign w:val="center"/>
          </w:tcPr>
          <w:p w14:paraId="5662E2A3" w14:textId="77777777" w:rsidR="000F0FE6" w:rsidRPr="000F0FE6" w:rsidRDefault="000F0FE6" w:rsidP="000F0FE6">
            <w:pPr>
              <w:ind w:left="113" w:right="113"/>
              <w:jc w:val="center"/>
              <w:rPr>
                <w:rFonts w:ascii="Arial Narrow" w:eastAsia="Times New Roman" w:hAnsi="Arial Narrow" w:cs="Arial"/>
                <w:b/>
                <w:sz w:val="20"/>
                <w:lang w:eastAsia="en-AU"/>
              </w:rPr>
            </w:pPr>
            <w:r w:rsidRPr="000F0FE6">
              <w:rPr>
                <w:rFonts w:ascii="Arial Narrow" w:eastAsia="Times New Roman" w:hAnsi="Arial Narrow" w:cs="Arial"/>
                <w:b/>
                <w:sz w:val="20"/>
                <w:lang w:eastAsia="en-AU"/>
              </w:rPr>
              <w:t>Satisfactory</w:t>
            </w:r>
          </w:p>
        </w:tc>
        <w:tc>
          <w:tcPr>
            <w:tcW w:w="2096" w:type="dxa"/>
            <w:shd w:val="clear" w:color="auto" w:fill="auto"/>
            <w:vAlign w:val="center"/>
          </w:tcPr>
          <w:p w14:paraId="2A9D62D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first estimate then perform metric measurements of common and familiar items.</w:t>
            </w:r>
          </w:p>
        </w:tc>
        <w:tc>
          <w:tcPr>
            <w:tcW w:w="2097" w:type="dxa"/>
            <w:shd w:val="clear" w:color="auto" w:fill="auto"/>
            <w:vAlign w:val="center"/>
          </w:tcPr>
          <w:p w14:paraId="72E624A7"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identify and understand the use of common and familiar units of measurements.</w:t>
            </w:r>
          </w:p>
          <w:p w14:paraId="0219043F" w14:textId="77777777" w:rsidR="000F0FE6" w:rsidRPr="000F0FE6" w:rsidRDefault="000F0FE6" w:rsidP="000F0FE6">
            <w:pPr>
              <w:jc w:val="center"/>
              <w:rPr>
                <w:rFonts w:ascii="Arial Narrow" w:eastAsia="Times New Roman" w:hAnsi="Arial Narrow" w:cs="Times New Roman"/>
                <w:sz w:val="18"/>
                <w:szCs w:val="18"/>
                <w:lang w:eastAsia="en-AU"/>
              </w:rPr>
            </w:pPr>
          </w:p>
          <w:p w14:paraId="14C495D1"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recognise the use of relevant non-metric units of measurement.</w:t>
            </w:r>
          </w:p>
        </w:tc>
        <w:tc>
          <w:tcPr>
            <w:tcW w:w="2097" w:type="dxa"/>
            <w:shd w:val="clear" w:color="auto" w:fill="auto"/>
            <w:vAlign w:val="center"/>
          </w:tcPr>
          <w:p w14:paraId="54B43DD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undertake basic calculations of distance, permitter, area, volume and capacity of simple shapes, when provided with the appropriate formulae.</w:t>
            </w:r>
          </w:p>
        </w:tc>
        <w:tc>
          <w:tcPr>
            <w:tcW w:w="2097" w:type="dxa"/>
            <w:tcBorders>
              <w:right w:val="single" w:sz="24" w:space="0" w:color="auto"/>
            </w:tcBorders>
            <w:shd w:val="clear" w:color="auto" w:fill="auto"/>
            <w:vAlign w:val="center"/>
          </w:tcPr>
          <w:p w14:paraId="21B5DD9E"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read and interpret familiar temperature measurements</w:t>
            </w:r>
          </w:p>
          <w:p w14:paraId="5903AED1" w14:textId="77777777" w:rsidR="000F0FE6" w:rsidRPr="000F0FE6" w:rsidRDefault="000F0FE6" w:rsidP="000F0FE6">
            <w:pPr>
              <w:jc w:val="center"/>
              <w:rPr>
                <w:rFonts w:ascii="Arial Narrow" w:eastAsia="Times New Roman" w:hAnsi="Arial Narrow" w:cs="Times New Roman"/>
                <w:sz w:val="18"/>
                <w:szCs w:val="18"/>
                <w:lang w:eastAsia="en-AU"/>
              </w:rPr>
            </w:pPr>
          </w:p>
          <w:p w14:paraId="7D567F82"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recognise 12-hour digital time, including minutes and hours on digital clocks, and hours, quarter- and half-hours on analogue clocks</w:t>
            </w:r>
          </w:p>
          <w:p w14:paraId="7A669A88" w14:textId="77777777" w:rsidR="000F0FE6" w:rsidRPr="000F0FE6" w:rsidRDefault="000F0FE6" w:rsidP="000F0FE6">
            <w:pPr>
              <w:jc w:val="center"/>
              <w:rPr>
                <w:rFonts w:ascii="Arial Narrow" w:eastAsia="Times New Roman" w:hAnsi="Arial Narrow" w:cs="Times New Roman"/>
                <w:sz w:val="18"/>
                <w:szCs w:val="18"/>
                <w:lang w:eastAsia="en-AU"/>
              </w:rPr>
            </w:pPr>
          </w:p>
          <w:p w14:paraId="4D433A6F"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recognise day and month dates</w:t>
            </w:r>
          </w:p>
        </w:tc>
        <w:tc>
          <w:tcPr>
            <w:tcW w:w="2268" w:type="dxa"/>
            <w:tcBorders>
              <w:left w:val="single" w:sz="24" w:space="0" w:color="auto"/>
            </w:tcBorders>
            <w:shd w:val="clear" w:color="auto" w:fill="auto"/>
            <w:vAlign w:val="center"/>
          </w:tcPr>
          <w:p w14:paraId="272584E0"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With prompting can identify the purpose of the task and make a simple short plan to complete the task.</w:t>
            </w:r>
          </w:p>
        </w:tc>
        <w:tc>
          <w:tcPr>
            <w:tcW w:w="2268" w:type="dxa"/>
            <w:shd w:val="clear" w:color="auto" w:fill="auto"/>
            <w:vAlign w:val="center"/>
          </w:tcPr>
          <w:p w14:paraId="656742F7"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Undertakes the given mathematical actions, and processes and uses suggested tools and technology to complete the task</w:t>
            </w:r>
          </w:p>
        </w:tc>
        <w:tc>
          <w:tcPr>
            <w:tcW w:w="2268" w:type="dxa"/>
            <w:shd w:val="clear" w:color="auto" w:fill="auto"/>
            <w:vAlign w:val="center"/>
          </w:tcPr>
          <w:p w14:paraId="4580E368"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respond to prompting or questioning to check the appropriateness and reasonableness of results answers</w:t>
            </w:r>
          </w:p>
        </w:tc>
        <w:tc>
          <w:tcPr>
            <w:tcW w:w="2268" w:type="dxa"/>
            <w:tcBorders>
              <w:right w:val="single" w:sz="24" w:space="0" w:color="auto"/>
            </w:tcBorders>
            <w:shd w:val="clear" w:color="auto" w:fill="auto"/>
            <w:vAlign w:val="center"/>
          </w:tcPr>
          <w:p w14:paraId="7CA0F946"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Uses mostly informal language and some written mathematical representations to present and discuss the results of the task</w:t>
            </w:r>
          </w:p>
        </w:tc>
        <w:tc>
          <w:tcPr>
            <w:tcW w:w="3402" w:type="dxa"/>
            <w:tcBorders>
              <w:left w:val="single" w:sz="24" w:space="0" w:color="auto"/>
            </w:tcBorders>
            <w:shd w:val="clear" w:color="auto" w:fill="auto"/>
            <w:vAlign w:val="center"/>
          </w:tcPr>
          <w:p w14:paraId="4687F33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Appropriate use of suggested tools and technology for collecting, organising, displaying and analysing data.</w:t>
            </w:r>
          </w:p>
        </w:tc>
      </w:tr>
      <w:tr w:rsidR="000F0FE6" w:rsidRPr="000F0FE6" w14:paraId="633C5866" w14:textId="77777777" w:rsidTr="000F0FE6">
        <w:trPr>
          <w:cantSplit/>
          <w:trHeight w:val="1567"/>
        </w:trPr>
        <w:tc>
          <w:tcPr>
            <w:tcW w:w="680" w:type="dxa"/>
            <w:vMerge w:val="restart"/>
            <w:shd w:val="clear" w:color="auto" w:fill="auto"/>
            <w:textDirection w:val="tbRl"/>
            <w:vAlign w:val="center"/>
          </w:tcPr>
          <w:p w14:paraId="37C7D711" w14:textId="77777777" w:rsidR="000F0FE6" w:rsidRPr="000F0FE6" w:rsidRDefault="000F0FE6" w:rsidP="000F0FE6">
            <w:pPr>
              <w:ind w:left="113" w:right="113"/>
              <w:jc w:val="center"/>
              <w:rPr>
                <w:rFonts w:ascii="Arial Narrow" w:eastAsia="Times New Roman" w:hAnsi="Arial Narrow" w:cs="Arial"/>
                <w:b/>
                <w:sz w:val="20"/>
                <w:lang w:eastAsia="en-AU"/>
              </w:rPr>
            </w:pPr>
            <w:r w:rsidRPr="000F0FE6">
              <w:rPr>
                <w:rFonts w:ascii="Arial Narrow" w:eastAsia="Times New Roman" w:hAnsi="Arial Narrow" w:cs="Arial"/>
                <w:b/>
                <w:sz w:val="20"/>
                <w:lang w:eastAsia="en-AU"/>
              </w:rPr>
              <w:t>Not yet satisfactory</w:t>
            </w:r>
          </w:p>
        </w:tc>
        <w:tc>
          <w:tcPr>
            <w:tcW w:w="2096" w:type="dxa"/>
            <w:shd w:val="clear" w:color="auto" w:fill="auto"/>
            <w:vAlign w:val="center"/>
          </w:tcPr>
          <w:p w14:paraId="08927448"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perform basic measurements of common, familiar items</w:t>
            </w:r>
          </w:p>
        </w:tc>
        <w:tc>
          <w:tcPr>
            <w:tcW w:w="2097" w:type="dxa"/>
            <w:shd w:val="clear" w:color="auto" w:fill="auto"/>
            <w:vAlign w:val="center"/>
          </w:tcPr>
          <w:p w14:paraId="75839E1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recognise familiar and common units of measurement</w:t>
            </w:r>
          </w:p>
          <w:p w14:paraId="55557B9A" w14:textId="77777777" w:rsidR="000F0FE6" w:rsidRPr="000F0FE6" w:rsidRDefault="000F0FE6" w:rsidP="000F0FE6">
            <w:pPr>
              <w:jc w:val="center"/>
              <w:rPr>
                <w:rFonts w:ascii="Arial Narrow" w:eastAsia="Times New Roman" w:hAnsi="Arial Narrow" w:cs="Times New Roman"/>
                <w:sz w:val="18"/>
                <w:szCs w:val="18"/>
                <w:lang w:eastAsia="en-AU"/>
              </w:rPr>
            </w:pPr>
          </w:p>
          <w:p w14:paraId="4B739E48"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recognise basic units of time and temperature.</w:t>
            </w:r>
          </w:p>
        </w:tc>
        <w:tc>
          <w:tcPr>
            <w:tcW w:w="2097" w:type="dxa"/>
            <w:shd w:val="clear" w:color="auto" w:fill="auto"/>
            <w:vAlign w:val="center"/>
          </w:tcPr>
          <w:p w14:paraId="2D8C1A1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undertake basic calculations of distance, perimeter and area of simple two-dimensional shapes, when provided with the appropriate formulae.</w:t>
            </w:r>
          </w:p>
        </w:tc>
        <w:tc>
          <w:tcPr>
            <w:tcW w:w="2097" w:type="dxa"/>
            <w:tcBorders>
              <w:right w:val="single" w:sz="24" w:space="0" w:color="auto"/>
            </w:tcBorders>
            <w:shd w:val="clear" w:color="auto" w:fill="auto"/>
            <w:vAlign w:val="center"/>
          </w:tcPr>
          <w:p w14:paraId="72D25180"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read basic o’clock and half hour time on digital and analogue clocks.</w:t>
            </w:r>
          </w:p>
          <w:p w14:paraId="098D9796" w14:textId="77777777" w:rsidR="000F0FE6" w:rsidRPr="000F0FE6" w:rsidRDefault="000F0FE6" w:rsidP="000F0FE6">
            <w:pPr>
              <w:jc w:val="center"/>
              <w:rPr>
                <w:rFonts w:ascii="Arial Narrow" w:eastAsia="Times New Roman" w:hAnsi="Arial Narrow" w:cs="Times New Roman"/>
                <w:sz w:val="18"/>
                <w:szCs w:val="18"/>
                <w:lang w:eastAsia="en-AU"/>
              </w:rPr>
            </w:pPr>
          </w:p>
          <w:p w14:paraId="17FD012E"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Can name the days of the week and months of the year.</w:t>
            </w:r>
          </w:p>
        </w:tc>
        <w:tc>
          <w:tcPr>
            <w:tcW w:w="2268" w:type="dxa"/>
            <w:tcBorders>
              <w:left w:val="single" w:sz="24" w:space="0" w:color="auto"/>
            </w:tcBorders>
            <w:shd w:val="clear" w:color="auto" w:fill="auto"/>
            <w:vAlign w:val="center"/>
          </w:tcPr>
          <w:p w14:paraId="6022F137"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Understands the purpose of the tasks and can follow a given plan to complete the tasks.</w:t>
            </w:r>
          </w:p>
        </w:tc>
        <w:tc>
          <w:tcPr>
            <w:tcW w:w="2268" w:type="dxa"/>
            <w:shd w:val="clear" w:color="auto" w:fill="auto"/>
            <w:vAlign w:val="center"/>
          </w:tcPr>
          <w:p w14:paraId="378CAAF7"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With support undertakes the given mathematical actions, and processes to complete the task</w:t>
            </w:r>
          </w:p>
        </w:tc>
        <w:tc>
          <w:tcPr>
            <w:tcW w:w="2268" w:type="dxa"/>
            <w:shd w:val="clear" w:color="auto" w:fill="auto"/>
            <w:vAlign w:val="center"/>
          </w:tcPr>
          <w:p w14:paraId="2A87935C"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Requires support to review the appropriateness and reasonableness of results and answers</w:t>
            </w:r>
          </w:p>
        </w:tc>
        <w:tc>
          <w:tcPr>
            <w:tcW w:w="2268" w:type="dxa"/>
            <w:tcBorders>
              <w:right w:val="single" w:sz="24" w:space="0" w:color="auto"/>
            </w:tcBorders>
            <w:shd w:val="clear" w:color="auto" w:fill="auto"/>
            <w:vAlign w:val="center"/>
          </w:tcPr>
          <w:p w14:paraId="2E2CEAC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Uses limited informal language to present and discuss the results of the task.</w:t>
            </w:r>
          </w:p>
        </w:tc>
        <w:tc>
          <w:tcPr>
            <w:tcW w:w="3402" w:type="dxa"/>
            <w:tcBorders>
              <w:left w:val="single" w:sz="24" w:space="0" w:color="auto"/>
            </w:tcBorders>
            <w:shd w:val="clear" w:color="auto" w:fill="auto"/>
            <w:vAlign w:val="center"/>
          </w:tcPr>
          <w:p w14:paraId="0C383455"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Appropriate use of tools and technology for collecting, organising, displaying and analysing data, when supported and scaffolded by the teacher.</w:t>
            </w:r>
          </w:p>
        </w:tc>
      </w:tr>
      <w:tr w:rsidR="000F0FE6" w:rsidRPr="000F0FE6" w14:paraId="0C32BCA4" w14:textId="77777777" w:rsidTr="00346E2B">
        <w:trPr>
          <w:cantSplit/>
          <w:trHeight w:val="421"/>
        </w:trPr>
        <w:tc>
          <w:tcPr>
            <w:tcW w:w="680" w:type="dxa"/>
            <w:vMerge/>
            <w:shd w:val="clear" w:color="auto" w:fill="auto"/>
            <w:textDirection w:val="tbRl"/>
            <w:vAlign w:val="center"/>
          </w:tcPr>
          <w:p w14:paraId="1D1831C0" w14:textId="77777777" w:rsidR="000F0FE6" w:rsidRPr="000F0FE6" w:rsidRDefault="000F0FE6" w:rsidP="000F0FE6">
            <w:pPr>
              <w:ind w:left="113" w:right="113"/>
              <w:jc w:val="center"/>
              <w:rPr>
                <w:rFonts w:ascii="Arial Narrow" w:eastAsia="Times New Roman" w:hAnsi="Arial Narrow" w:cs="Arial"/>
                <w:b/>
                <w:sz w:val="20"/>
                <w:lang w:eastAsia="en-AU"/>
              </w:rPr>
            </w:pPr>
          </w:p>
        </w:tc>
        <w:tc>
          <w:tcPr>
            <w:tcW w:w="2096" w:type="dxa"/>
            <w:shd w:val="clear" w:color="auto" w:fill="auto"/>
            <w:vAlign w:val="center"/>
          </w:tcPr>
          <w:p w14:paraId="44394D6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Not Shown</w:t>
            </w:r>
          </w:p>
        </w:tc>
        <w:tc>
          <w:tcPr>
            <w:tcW w:w="2097" w:type="dxa"/>
            <w:shd w:val="clear" w:color="auto" w:fill="auto"/>
            <w:vAlign w:val="center"/>
          </w:tcPr>
          <w:p w14:paraId="655BE453"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Not Shown</w:t>
            </w:r>
          </w:p>
        </w:tc>
        <w:tc>
          <w:tcPr>
            <w:tcW w:w="2097" w:type="dxa"/>
            <w:shd w:val="clear" w:color="auto" w:fill="auto"/>
            <w:vAlign w:val="center"/>
          </w:tcPr>
          <w:p w14:paraId="115337EB"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Not Shown</w:t>
            </w:r>
          </w:p>
        </w:tc>
        <w:tc>
          <w:tcPr>
            <w:tcW w:w="2097" w:type="dxa"/>
            <w:tcBorders>
              <w:right w:val="single" w:sz="24" w:space="0" w:color="auto"/>
            </w:tcBorders>
            <w:shd w:val="clear" w:color="auto" w:fill="auto"/>
            <w:vAlign w:val="center"/>
          </w:tcPr>
          <w:p w14:paraId="4094FE33"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Not Shown</w:t>
            </w:r>
          </w:p>
        </w:tc>
        <w:tc>
          <w:tcPr>
            <w:tcW w:w="2268" w:type="dxa"/>
            <w:tcBorders>
              <w:left w:val="single" w:sz="24" w:space="0" w:color="auto"/>
            </w:tcBorders>
            <w:shd w:val="clear" w:color="auto" w:fill="auto"/>
          </w:tcPr>
          <w:p w14:paraId="2EE8BD79" w14:textId="77777777" w:rsidR="000F0FE6" w:rsidRPr="000F0FE6" w:rsidRDefault="000F0FE6" w:rsidP="000F0FE6">
            <w:pPr>
              <w:jc w:val="center"/>
              <w:rPr>
                <w:rFonts w:ascii="Arial Narrow" w:eastAsia="Times New Roman" w:hAnsi="Arial Narrow" w:cs="Times New Roman"/>
                <w:bCs/>
                <w:sz w:val="18"/>
                <w:szCs w:val="18"/>
                <w:lang w:eastAsia="en-AU"/>
              </w:rPr>
            </w:pPr>
            <w:r w:rsidRPr="000F0FE6">
              <w:rPr>
                <w:rFonts w:ascii="Arial Narrow" w:eastAsia="Times New Roman" w:hAnsi="Arial Narrow" w:cs="Times New Roman"/>
                <w:bCs/>
                <w:sz w:val="18"/>
                <w:szCs w:val="18"/>
                <w:lang w:eastAsia="en-AU"/>
              </w:rPr>
              <w:t>Not Shown</w:t>
            </w:r>
          </w:p>
        </w:tc>
        <w:tc>
          <w:tcPr>
            <w:tcW w:w="2268" w:type="dxa"/>
            <w:shd w:val="clear" w:color="auto" w:fill="auto"/>
          </w:tcPr>
          <w:p w14:paraId="31B9A7B8" w14:textId="77777777" w:rsidR="000F0FE6" w:rsidRPr="000F0FE6" w:rsidRDefault="000F0FE6" w:rsidP="000F0FE6">
            <w:pPr>
              <w:jc w:val="center"/>
              <w:rPr>
                <w:rFonts w:ascii="Arial Narrow" w:eastAsia="Times New Roman" w:hAnsi="Arial Narrow" w:cs="Times New Roman"/>
                <w:bCs/>
                <w:sz w:val="18"/>
                <w:szCs w:val="18"/>
                <w:lang w:eastAsia="en-AU"/>
              </w:rPr>
            </w:pPr>
            <w:r w:rsidRPr="000F0FE6">
              <w:rPr>
                <w:rFonts w:ascii="Arial Narrow" w:eastAsia="Times New Roman" w:hAnsi="Arial Narrow" w:cs="Times New Roman"/>
                <w:bCs/>
                <w:sz w:val="18"/>
                <w:szCs w:val="18"/>
                <w:lang w:eastAsia="en-AU"/>
              </w:rPr>
              <w:t>Not Shown</w:t>
            </w:r>
          </w:p>
        </w:tc>
        <w:tc>
          <w:tcPr>
            <w:tcW w:w="2268" w:type="dxa"/>
            <w:shd w:val="clear" w:color="auto" w:fill="auto"/>
          </w:tcPr>
          <w:p w14:paraId="3A6412BD" w14:textId="77777777" w:rsidR="000F0FE6" w:rsidRPr="000F0FE6" w:rsidRDefault="000F0FE6" w:rsidP="000F0FE6">
            <w:pPr>
              <w:jc w:val="center"/>
              <w:rPr>
                <w:rFonts w:ascii="Arial Narrow" w:eastAsia="Times New Roman" w:hAnsi="Arial Narrow" w:cs="Times New Roman"/>
                <w:sz w:val="18"/>
                <w:szCs w:val="18"/>
                <w:lang w:eastAsia="en-AU"/>
              </w:rPr>
            </w:pPr>
            <w:r w:rsidRPr="000F0FE6">
              <w:rPr>
                <w:rFonts w:ascii="Arial Narrow" w:eastAsia="Times New Roman" w:hAnsi="Arial Narrow" w:cs="Times New Roman"/>
                <w:sz w:val="18"/>
                <w:szCs w:val="18"/>
                <w:lang w:eastAsia="en-AU"/>
              </w:rPr>
              <w:t>Not Shown</w:t>
            </w:r>
          </w:p>
        </w:tc>
        <w:tc>
          <w:tcPr>
            <w:tcW w:w="2268" w:type="dxa"/>
            <w:tcBorders>
              <w:right w:val="single" w:sz="24" w:space="0" w:color="auto"/>
            </w:tcBorders>
            <w:shd w:val="clear" w:color="auto" w:fill="auto"/>
          </w:tcPr>
          <w:p w14:paraId="2C2FAEC8" w14:textId="77777777" w:rsidR="000F0FE6" w:rsidRPr="000F0FE6" w:rsidRDefault="000F0FE6" w:rsidP="000F0FE6">
            <w:pPr>
              <w:jc w:val="center"/>
              <w:rPr>
                <w:rFonts w:ascii="Arial Narrow" w:eastAsia="Times New Roman" w:hAnsi="Arial Narrow" w:cs="Times New Roman"/>
                <w:bCs/>
                <w:sz w:val="18"/>
                <w:szCs w:val="18"/>
                <w:lang w:eastAsia="en-AU"/>
              </w:rPr>
            </w:pPr>
            <w:r w:rsidRPr="000F0FE6">
              <w:rPr>
                <w:rFonts w:ascii="Arial Narrow" w:eastAsia="Times New Roman" w:hAnsi="Arial Narrow" w:cs="Times New Roman"/>
                <w:bCs/>
                <w:sz w:val="18"/>
                <w:szCs w:val="18"/>
                <w:lang w:eastAsia="en-AU"/>
              </w:rPr>
              <w:t>Not Shown</w:t>
            </w:r>
          </w:p>
        </w:tc>
        <w:tc>
          <w:tcPr>
            <w:tcW w:w="3402" w:type="dxa"/>
            <w:tcBorders>
              <w:left w:val="single" w:sz="24" w:space="0" w:color="auto"/>
            </w:tcBorders>
            <w:shd w:val="clear" w:color="auto" w:fill="auto"/>
            <w:vAlign w:val="center"/>
          </w:tcPr>
          <w:p w14:paraId="3C510B7E" w14:textId="77777777" w:rsidR="000F0FE6" w:rsidRPr="000F0FE6" w:rsidRDefault="000F0FE6" w:rsidP="000F0FE6">
            <w:pPr>
              <w:jc w:val="center"/>
              <w:rPr>
                <w:rFonts w:ascii="Arial Narrow" w:eastAsia="Times New Roman" w:hAnsi="Arial Narrow" w:cs="Times New Roman"/>
                <w:bCs/>
                <w:sz w:val="18"/>
                <w:szCs w:val="18"/>
                <w:lang w:eastAsia="en-AU"/>
              </w:rPr>
            </w:pPr>
            <w:r w:rsidRPr="000F0FE6">
              <w:rPr>
                <w:rFonts w:ascii="Arial Narrow" w:eastAsia="Times New Roman" w:hAnsi="Arial Narrow" w:cs="Times New Roman"/>
                <w:bCs/>
                <w:sz w:val="18"/>
                <w:szCs w:val="18"/>
                <w:lang w:eastAsia="en-AU"/>
              </w:rPr>
              <w:t>Not Shown</w:t>
            </w:r>
          </w:p>
        </w:tc>
      </w:tr>
      <w:tr w:rsidR="000F0FE6" w:rsidRPr="000F0FE6" w14:paraId="7587F69B" w14:textId="77777777" w:rsidTr="00346E2B">
        <w:trPr>
          <w:trHeight w:val="424"/>
        </w:trPr>
        <w:tc>
          <w:tcPr>
            <w:tcW w:w="680" w:type="dxa"/>
            <w:vMerge w:val="restart"/>
            <w:shd w:val="clear" w:color="auto" w:fill="auto"/>
            <w:textDirection w:val="tbRl"/>
            <w:vAlign w:val="center"/>
          </w:tcPr>
          <w:p w14:paraId="117B8738" w14:textId="77777777" w:rsidR="000F0FE6" w:rsidRPr="000F0FE6" w:rsidRDefault="000F0FE6" w:rsidP="000F0FE6">
            <w:pPr>
              <w:ind w:left="113" w:right="113"/>
              <w:jc w:val="center"/>
              <w:rPr>
                <w:rFonts w:ascii="Arial Narrow" w:eastAsia="Times New Roman" w:hAnsi="Arial Narrow" w:cs="Arial"/>
                <w:b/>
                <w:bCs/>
                <w:sz w:val="20"/>
                <w:szCs w:val="20"/>
                <w:lang w:eastAsia="en-AU"/>
              </w:rPr>
            </w:pPr>
            <w:r w:rsidRPr="000F0FE6">
              <w:rPr>
                <w:rFonts w:ascii="Arial Narrow" w:eastAsia="Times New Roman" w:hAnsi="Arial Narrow" w:cs="Arial"/>
                <w:b/>
                <w:bCs/>
                <w:sz w:val="20"/>
                <w:szCs w:val="20"/>
                <w:lang w:eastAsia="en-AU"/>
              </w:rPr>
              <w:t>Criteria</w:t>
            </w:r>
          </w:p>
        </w:tc>
        <w:tc>
          <w:tcPr>
            <w:tcW w:w="2096" w:type="dxa"/>
            <w:shd w:val="clear" w:color="auto" w:fill="auto"/>
            <w:vAlign w:val="center"/>
          </w:tcPr>
          <w:p w14:paraId="4AFF2631"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Measuring</w:t>
            </w:r>
          </w:p>
        </w:tc>
        <w:tc>
          <w:tcPr>
            <w:tcW w:w="2097" w:type="dxa"/>
            <w:shd w:val="clear" w:color="auto" w:fill="auto"/>
            <w:vAlign w:val="center"/>
          </w:tcPr>
          <w:p w14:paraId="3968FE24"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Units</w:t>
            </w:r>
          </w:p>
        </w:tc>
        <w:tc>
          <w:tcPr>
            <w:tcW w:w="2097" w:type="dxa"/>
            <w:shd w:val="clear" w:color="auto" w:fill="auto"/>
            <w:vAlign w:val="center"/>
          </w:tcPr>
          <w:p w14:paraId="0BEA8AD7"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Calculations</w:t>
            </w:r>
          </w:p>
        </w:tc>
        <w:tc>
          <w:tcPr>
            <w:tcW w:w="2097" w:type="dxa"/>
            <w:tcBorders>
              <w:right w:val="single" w:sz="24" w:space="0" w:color="auto"/>
            </w:tcBorders>
            <w:shd w:val="clear" w:color="auto" w:fill="auto"/>
            <w:vAlign w:val="center"/>
          </w:tcPr>
          <w:p w14:paraId="3FDD12D4"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Time &amp; Temperature</w:t>
            </w:r>
          </w:p>
        </w:tc>
        <w:tc>
          <w:tcPr>
            <w:tcW w:w="2268" w:type="dxa"/>
            <w:tcBorders>
              <w:left w:val="single" w:sz="24" w:space="0" w:color="auto"/>
            </w:tcBorders>
            <w:shd w:val="clear" w:color="auto" w:fill="auto"/>
            <w:vAlign w:val="center"/>
          </w:tcPr>
          <w:p w14:paraId="1F2815C0"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Identify the mathematics</w:t>
            </w:r>
          </w:p>
        </w:tc>
        <w:tc>
          <w:tcPr>
            <w:tcW w:w="2268" w:type="dxa"/>
            <w:shd w:val="clear" w:color="auto" w:fill="auto"/>
            <w:vAlign w:val="center"/>
          </w:tcPr>
          <w:p w14:paraId="5FD72C35"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Act on and use mathematics</w:t>
            </w:r>
          </w:p>
        </w:tc>
        <w:tc>
          <w:tcPr>
            <w:tcW w:w="2268" w:type="dxa"/>
            <w:shd w:val="clear" w:color="auto" w:fill="auto"/>
            <w:vAlign w:val="center"/>
          </w:tcPr>
          <w:p w14:paraId="5CC7D5B4"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Evaluate and Reflect</w:t>
            </w:r>
          </w:p>
        </w:tc>
        <w:tc>
          <w:tcPr>
            <w:tcW w:w="2268" w:type="dxa"/>
            <w:tcBorders>
              <w:right w:val="single" w:sz="24" w:space="0" w:color="auto"/>
            </w:tcBorders>
            <w:shd w:val="clear" w:color="auto" w:fill="auto"/>
            <w:vAlign w:val="center"/>
          </w:tcPr>
          <w:p w14:paraId="795E3C2B"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Communicate and report</w:t>
            </w:r>
          </w:p>
        </w:tc>
        <w:tc>
          <w:tcPr>
            <w:tcW w:w="3402" w:type="dxa"/>
            <w:tcBorders>
              <w:left w:val="single" w:sz="24" w:space="0" w:color="auto"/>
            </w:tcBorders>
            <w:shd w:val="clear" w:color="auto" w:fill="auto"/>
            <w:vAlign w:val="center"/>
          </w:tcPr>
          <w:p w14:paraId="2F373F66" w14:textId="77777777" w:rsidR="000F0FE6" w:rsidRPr="000F0FE6" w:rsidRDefault="000F0FE6" w:rsidP="000F0FE6">
            <w:pPr>
              <w:jc w:val="center"/>
              <w:rPr>
                <w:rFonts w:ascii="Arial Narrow" w:eastAsia="Times New Roman" w:hAnsi="Arial Narrow" w:cs="Times New Roman"/>
                <w:b/>
                <w:sz w:val="18"/>
                <w:szCs w:val="18"/>
                <w:lang w:eastAsia="en-AU"/>
              </w:rPr>
            </w:pPr>
            <w:r w:rsidRPr="000F0FE6">
              <w:rPr>
                <w:rFonts w:ascii="Arial Narrow" w:eastAsia="Times New Roman" w:hAnsi="Arial Narrow" w:cs="Times New Roman"/>
                <w:b/>
                <w:sz w:val="18"/>
                <w:szCs w:val="18"/>
                <w:lang w:eastAsia="en-AU"/>
              </w:rPr>
              <w:t>Tools and technology</w:t>
            </w:r>
          </w:p>
        </w:tc>
      </w:tr>
      <w:tr w:rsidR="000F0FE6" w:rsidRPr="000F0FE6" w14:paraId="7AA54F63" w14:textId="77777777" w:rsidTr="00346E2B">
        <w:trPr>
          <w:trHeight w:val="718"/>
        </w:trPr>
        <w:tc>
          <w:tcPr>
            <w:tcW w:w="680" w:type="dxa"/>
            <w:vMerge/>
            <w:shd w:val="clear" w:color="auto" w:fill="auto"/>
            <w:vAlign w:val="center"/>
          </w:tcPr>
          <w:p w14:paraId="7C0C8E3E" w14:textId="77777777" w:rsidR="000F0FE6" w:rsidRPr="000F0FE6" w:rsidRDefault="000F0FE6" w:rsidP="000F0FE6">
            <w:pPr>
              <w:jc w:val="center"/>
              <w:rPr>
                <w:rFonts w:ascii="Arial Narrow" w:eastAsia="Times New Roman" w:hAnsi="Arial Narrow" w:cs="Times New Roman"/>
                <w:b/>
                <w:sz w:val="20"/>
                <w:szCs w:val="28"/>
                <w:lang w:eastAsia="en-AU"/>
              </w:rPr>
            </w:pPr>
          </w:p>
        </w:tc>
        <w:tc>
          <w:tcPr>
            <w:tcW w:w="8387" w:type="dxa"/>
            <w:gridSpan w:val="4"/>
            <w:tcBorders>
              <w:right w:val="single" w:sz="24" w:space="0" w:color="auto"/>
            </w:tcBorders>
            <w:shd w:val="clear" w:color="auto" w:fill="auto"/>
            <w:vAlign w:val="center"/>
          </w:tcPr>
          <w:p w14:paraId="08B9DD22" w14:textId="77777777" w:rsidR="000F0FE6" w:rsidRPr="000F0FE6" w:rsidRDefault="000F0FE6" w:rsidP="000F0FE6">
            <w:pPr>
              <w:jc w:val="center"/>
              <w:rPr>
                <w:rFonts w:ascii="Arial Narrow" w:eastAsia="Times New Roman" w:hAnsi="Arial Narrow" w:cs="Times New Roman"/>
                <w:b/>
                <w:sz w:val="36"/>
                <w:szCs w:val="44"/>
                <w:lang w:eastAsia="en-AU"/>
              </w:rPr>
            </w:pPr>
            <w:r w:rsidRPr="000F0FE6">
              <w:rPr>
                <w:rFonts w:ascii="Arial Narrow" w:eastAsia="Times New Roman" w:hAnsi="Arial Narrow" w:cs="Times New Roman"/>
                <w:b/>
                <w:sz w:val="36"/>
                <w:szCs w:val="44"/>
                <w:lang w:eastAsia="en-AU"/>
              </w:rPr>
              <w:t>Outcome 1 – Area of Study 3 Quantity and Measures &amp; Personal Numeracy Context</w:t>
            </w:r>
          </w:p>
        </w:tc>
        <w:tc>
          <w:tcPr>
            <w:tcW w:w="9072" w:type="dxa"/>
            <w:gridSpan w:val="4"/>
            <w:tcBorders>
              <w:left w:val="single" w:sz="24" w:space="0" w:color="auto"/>
              <w:right w:val="single" w:sz="24" w:space="0" w:color="auto"/>
            </w:tcBorders>
            <w:shd w:val="clear" w:color="auto" w:fill="auto"/>
            <w:vAlign w:val="center"/>
          </w:tcPr>
          <w:p w14:paraId="5D651786" w14:textId="77777777" w:rsidR="000F0FE6" w:rsidRPr="000F0FE6" w:rsidRDefault="000F0FE6" w:rsidP="000F0FE6">
            <w:pPr>
              <w:jc w:val="center"/>
              <w:rPr>
                <w:rFonts w:ascii="Arial Narrow" w:eastAsia="Times New Roman" w:hAnsi="Arial Narrow" w:cs="Times New Roman"/>
                <w:b/>
                <w:sz w:val="36"/>
                <w:szCs w:val="44"/>
                <w:lang w:eastAsia="en-AU"/>
              </w:rPr>
            </w:pPr>
            <w:r w:rsidRPr="000F0FE6">
              <w:rPr>
                <w:rFonts w:ascii="Arial Narrow" w:eastAsia="Times New Roman" w:hAnsi="Arial Narrow" w:cs="Times New Roman"/>
                <w:b/>
                <w:sz w:val="36"/>
                <w:szCs w:val="44"/>
                <w:lang w:eastAsia="en-AU"/>
              </w:rPr>
              <w:t>Outcome 2 Problem-Solving Cycle</w:t>
            </w:r>
          </w:p>
        </w:tc>
        <w:tc>
          <w:tcPr>
            <w:tcW w:w="3402" w:type="dxa"/>
            <w:tcBorders>
              <w:left w:val="single" w:sz="24" w:space="0" w:color="auto"/>
            </w:tcBorders>
            <w:shd w:val="clear" w:color="auto" w:fill="auto"/>
            <w:vAlign w:val="center"/>
          </w:tcPr>
          <w:p w14:paraId="0A445609" w14:textId="77777777" w:rsidR="000F0FE6" w:rsidRPr="000F0FE6" w:rsidRDefault="000F0FE6" w:rsidP="000F0FE6">
            <w:pPr>
              <w:jc w:val="center"/>
              <w:rPr>
                <w:rFonts w:ascii="Arial Narrow" w:eastAsia="Times New Roman" w:hAnsi="Arial Narrow" w:cs="Times New Roman"/>
                <w:b/>
                <w:sz w:val="36"/>
                <w:szCs w:val="44"/>
                <w:lang w:eastAsia="en-AU"/>
              </w:rPr>
            </w:pPr>
            <w:r w:rsidRPr="000F0FE6">
              <w:rPr>
                <w:rFonts w:ascii="Arial Narrow" w:eastAsia="Times New Roman" w:hAnsi="Arial Narrow" w:cs="Times New Roman"/>
                <w:b/>
                <w:sz w:val="36"/>
                <w:szCs w:val="44"/>
                <w:lang w:eastAsia="en-AU"/>
              </w:rPr>
              <w:t>Outcome 3 Mathematical toolkit</w:t>
            </w:r>
          </w:p>
        </w:tc>
      </w:tr>
      <w:tr w:rsidR="000F0FE6" w:rsidRPr="000F0FE6" w14:paraId="20DCA008" w14:textId="77777777" w:rsidTr="00346E2B">
        <w:trPr>
          <w:trHeight w:val="1433"/>
        </w:trPr>
        <w:tc>
          <w:tcPr>
            <w:tcW w:w="680" w:type="dxa"/>
            <w:vMerge/>
            <w:shd w:val="clear" w:color="auto" w:fill="auto"/>
            <w:vAlign w:val="center"/>
          </w:tcPr>
          <w:p w14:paraId="32E38B0B" w14:textId="77777777" w:rsidR="000F0FE6" w:rsidRPr="000F0FE6" w:rsidRDefault="000F0FE6" w:rsidP="000F0FE6">
            <w:pPr>
              <w:jc w:val="center"/>
              <w:rPr>
                <w:rFonts w:ascii="Arial Narrow" w:eastAsia="Times New Roman" w:hAnsi="Arial Narrow" w:cs="Times New Roman"/>
                <w:b/>
                <w:sz w:val="20"/>
                <w:szCs w:val="28"/>
                <w:lang w:eastAsia="en-AU"/>
              </w:rPr>
            </w:pPr>
          </w:p>
        </w:tc>
        <w:tc>
          <w:tcPr>
            <w:tcW w:w="8387" w:type="dxa"/>
            <w:gridSpan w:val="4"/>
            <w:tcBorders>
              <w:right w:val="single" w:sz="24" w:space="0" w:color="auto"/>
            </w:tcBorders>
            <w:shd w:val="clear" w:color="auto" w:fill="auto"/>
          </w:tcPr>
          <w:p w14:paraId="5E59E50F" w14:textId="77777777" w:rsidR="000F0FE6" w:rsidRPr="000F0FE6" w:rsidRDefault="000F0FE6" w:rsidP="000F0FE6">
            <w:pPr>
              <w:spacing w:before="120" w:after="120" w:line="280" w:lineRule="exact"/>
              <w:rPr>
                <w:rFonts w:ascii="Arial Narrow" w:eastAsia="Calibri" w:hAnsi="Arial Narrow" w:cs="Times New Roman"/>
                <w:color w:val="000000"/>
                <w:sz w:val="20"/>
                <w:szCs w:val="20"/>
              </w:rPr>
            </w:pPr>
            <w:r w:rsidRPr="000F0FE6">
              <w:rPr>
                <w:rFonts w:ascii="Arial Narrow" w:eastAsia="Calibri" w:hAnsi="Arial Narrow" w:cs="Times New Roman"/>
                <w:color w:val="000000"/>
                <w:sz w:val="20"/>
                <w:szCs w:val="20"/>
              </w:rPr>
              <w:t>Students develop an understanding of metric measurements and their units of measurement applied to multi-step measurement tasks including working with commonly used non-metric measurements and their units of measure. Students will conduct estimations of measurements, perform a range of measurement calculations, and undertake conversions with the embedded use of different technologies.</w:t>
            </w:r>
          </w:p>
        </w:tc>
        <w:tc>
          <w:tcPr>
            <w:tcW w:w="9072" w:type="dxa"/>
            <w:gridSpan w:val="4"/>
            <w:tcBorders>
              <w:left w:val="single" w:sz="24" w:space="0" w:color="auto"/>
              <w:right w:val="single" w:sz="24" w:space="0" w:color="auto"/>
            </w:tcBorders>
            <w:shd w:val="clear" w:color="auto" w:fill="auto"/>
          </w:tcPr>
          <w:p w14:paraId="39B555E7" w14:textId="77777777" w:rsidR="000F0FE6" w:rsidRPr="000F0FE6" w:rsidRDefault="000F0FE6" w:rsidP="000F0FE6">
            <w:pPr>
              <w:rPr>
                <w:rFonts w:ascii="Arial Narrow" w:eastAsia="Times New Roman" w:hAnsi="Arial Narrow" w:cs="Times New Roman"/>
                <w:sz w:val="20"/>
                <w:szCs w:val="20"/>
                <w:lang w:eastAsia="en-AU"/>
              </w:rPr>
            </w:pPr>
            <w:r w:rsidRPr="000F0FE6">
              <w:rPr>
                <w:rFonts w:ascii="Arial Narrow" w:eastAsia="Times New Roman" w:hAnsi="Arial Narrow" w:cs="Times New Roman"/>
                <w:sz w:val="20"/>
                <w:szCs w:val="20"/>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3402" w:type="dxa"/>
            <w:tcBorders>
              <w:left w:val="single" w:sz="24" w:space="0" w:color="auto"/>
            </w:tcBorders>
            <w:shd w:val="clear" w:color="auto" w:fill="auto"/>
          </w:tcPr>
          <w:p w14:paraId="7CAD5681" w14:textId="77777777" w:rsidR="000F0FE6" w:rsidRPr="000F0FE6" w:rsidRDefault="000F0FE6" w:rsidP="000F0FE6">
            <w:pPr>
              <w:rPr>
                <w:rFonts w:ascii="Arial Narrow" w:eastAsia="Times New Roman" w:hAnsi="Arial Narrow" w:cs="Times New Roman"/>
                <w:i/>
                <w:sz w:val="20"/>
                <w:szCs w:val="20"/>
                <w:lang w:eastAsia="en-AU"/>
              </w:rPr>
            </w:pPr>
            <w:r w:rsidRPr="000F0FE6">
              <w:rPr>
                <w:rFonts w:ascii="Arial Narrow" w:eastAsia="Times New Roman" w:hAnsi="Arial Narrow" w:cs="Times New Roman"/>
                <w:sz w:val="20"/>
                <w:szCs w:val="20"/>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3FDAF6DD" w:rsidR="00A922F4" w:rsidRPr="00D86DE4" w:rsidRDefault="000F0FE6"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3 Personal Numeracy, AOS 3: Quantity &amp; Measures Tiny House</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89189947">
    <w:abstractNumId w:val="8"/>
  </w:num>
  <w:num w:numId="2" w16cid:durableId="1289504498">
    <w:abstractNumId w:val="6"/>
  </w:num>
  <w:num w:numId="3" w16cid:durableId="28457807">
    <w:abstractNumId w:val="3"/>
  </w:num>
  <w:num w:numId="4" w16cid:durableId="572936984">
    <w:abstractNumId w:val="0"/>
  </w:num>
  <w:num w:numId="5" w16cid:durableId="1544515874">
    <w:abstractNumId w:val="7"/>
  </w:num>
  <w:num w:numId="6" w16cid:durableId="1035733301">
    <w:abstractNumId w:val="9"/>
  </w:num>
  <w:num w:numId="7" w16cid:durableId="1098067048">
    <w:abstractNumId w:val="2"/>
  </w:num>
  <w:num w:numId="8" w16cid:durableId="1096710467">
    <w:abstractNumId w:val="1"/>
  </w:num>
  <w:num w:numId="9" w16cid:durableId="1403526075">
    <w:abstractNumId w:val="5"/>
  </w:num>
  <w:num w:numId="10" w16cid:durableId="142085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rAUAXIBOHywAAAA="/>
  </w:docVars>
  <w:rsids>
    <w:rsidRoot w:val="00EC4FF7"/>
    <w:rsid w:val="00003885"/>
    <w:rsid w:val="0003270F"/>
    <w:rsid w:val="0003772A"/>
    <w:rsid w:val="0005780E"/>
    <w:rsid w:val="00065CC6"/>
    <w:rsid w:val="000A71F7"/>
    <w:rsid w:val="000F09E4"/>
    <w:rsid w:val="000F0FE6"/>
    <w:rsid w:val="000F16FD"/>
    <w:rsid w:val="0015274C"/>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417AA3"/>
    <w:rsid w:val="00440B32"/>
    <w:rsid w:val="00447636"/>
    <w:rsid w:val="0046078D"/>
    <w:rsid w:val="004A2ED8"/>
    <w:rsid w:val="004F5BDA"/>
    <w:rsid w:val="0051631E"/>
    <w:rsid w:val="00537A1F"/>
    <w:rsid w:val="00566029"/>
    <w:rsid w:val="00570B45"/>
    <w:rsid w:val="005923CB"/>
    <w:rsid w:val="00596B77"/>
    <w:rsid w:val="005B391B"/>
    <w:rsid w:val="005D3D78"/>
    <w:rsid w:val="005E2EF0"/>
    <w:rsid w:val="00602C96"/>
    <w:rsid w:val="0068471E"/>
    <w:rsid w:val="00684F98"/>
    <w:rsid w:val="00693FFD"/>
    <w:rsid w:val="006D2159"/>
    <w:rsid w:val="006F787C"/>
    <w:rsid w:val="00702636"/>
    <w:rsid w:val="00724507"/>
    <w:rsid w:val="007329DA"/>
    <w:rsid w:val="00735D24"/>
    <w:rsid w:val="00773E6C"/>
    <w:rsid w:val="0077623A"/>
    <w:rsid w:val="00781FB1"/>
    <w:rsid w:val="008012D2"/>
    <w:rsid w:val="00813C37"/>
    <w:rsid w:val="008154B5"/>
    <w:rsid w:val="00823962"/>
    <w:rsid w:val="00852719"/>
    <w:rsid w:val="00860115"/>
    <w:rsid w:val="0088783C"/>
    <w:rsid w:val="008E210E"/>
    <w:rsid w:val="009370BC"/>
    <w:rsid w:val="00970580"/>
    <w:rsid w:val="00983362"/>
    <w:rsid w:val="0098739B"/>
    <w:rsid w:val="009A5E59"/>
    <w:rsid w:val="009B61E5"/>
    <w:rsid w:val="009D1E89"/>
    <w:rsid w:val="00A17661"/>
    <w:rsid w:val="00A24B2D"/>
    <w:rsid w:val="00A40966"/>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B68E8"/>
    <w:rsid w:val="00D00600"/>
    <w:rsid w:val="00D04F01"/>
    <w:rsid w:val="00D06414"/>
    <w:rsid w:val="00D338E4"/>
    <w:rsid w:val="00D51947"/>
    <w:rsid w:val="00D532F0"/>
    <w:rsid w:val="00D77413"/>
    <w:rsid w:val="00D82759"/>
    <w:rsid w:val="00D83EB1"/>
    <w:rsid w:val="00D86DE4"/>
    <w:rsid w:val="00DE51DB"/>
    <w:rsid w:val="00DE63A4"/>
    <w:rsid w:val="00E23F1D"/>
    <w:rsid w:val="00E30E05"/>
    <w:rsid w:val="00E36361"/>
    <w:rsid w:val="00E55AE9"/>
    <w:rsid w:val="00E86FF9"/>
    <w:rsid w:val="00E96ED5"/>
    <w:rsid w:val="00EB0C84"/>
    <w:rsid w:val="00EB1378"/>
    <w:rsid w:val="00EC4FF7"/>
    <w:rsid w:val="00F40D53"/>
    <w:rsid w:val="00F4525C"/>
    <w:rsid w:val="00F50C1A"/>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CE1C-06D0-4401-8604-81AD1A5F05A4}"/>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Personal Numeracy, AOS 3: Quantity &amp; Measures Tiny House</dc:title>
  <dc:creator>Derek Tolan</dc:creator>
  <cp:lastModifiedBy>Thomas Heeren</cp:lastModifiedBy>
  <cp:revision>2</cp:revision>
  <cp:lastPrinted>2015-05-15T02:36:00Z</cp:lastPrinted>
  <dcterms:created xsi:type="dcterms:W3CDTF">2022-04-20T01:57:00Z</dcterms:created>
  <dcterms:modified xsi:type="dcterms:W3CDTF">2022-04-20T01:57:00Z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