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692BFFAA" w:rsidR="00F4525C" w:rsidRDefault="003E59CE" w:rsidP="009B61E5">
          <w:pPr>
            <w:pStyle w:val="VCAADocumenttitle"/>
          </w:pPr>
          <w:r w:rsidRPr="003E59CE">
            <w:t>Unit 3, Outcome 1-3 - Skills &amp; Knowledge</w:t>
          </w:r>
        </w:p>
      </w:sdtContent>
    </w:sdt>
    <w:tbl>
      <w:tblPr>
        <w:tblStyle w:val="TableGrid27"/>
        <w:tblW w:w="21368" w:type="dxa"/>
        <w:tblLayout w:type="fixed"/>
        <w:tblCellMar>
          <w:top w:w="108" w:type="dxa"/>
          <w:bottom w:w="108" w:type="dxa"/>
        </w:tblCellMar>
        <w:tblLook w:val="04A0" w:firstRow="1" w:lastRow="0" w:firstColumn="1" w:lastColumn="0" w:noHBand="0" w:noVBand="1"/>
      </w:tblPr>
      <w:tblGrid>
        <w:gridCol w:w="680"/>
        <w:gridCol w:w="10344"/>
        <w:gridCol w:w="10344"/>
      </w:tblGrid>
      <w:tr w:rsidR="003E59CE" w:rsidRPr="003E59CE" w14:paraId="517DE06F" w14:textId="77777777" w:rsidTr="003E59CE">
        <w:trPr>
          <w:cantSplit/>
          <w:trHeight w:val="2123"/>
        </w:trPr>
        <w:tc>
          <w:tcPr>
            <w:tcW w:w="680" w:type="dxa"/>
            <w:shd w:val="clear" w:color="auto" w:fill="auto"/>
            <w:textDirection w:val="tbRl"/>
            <w:vAlign w:val="center"/>
          </w:tcPr>
          <w:p w14:paraId="094FB580" w14:textId="77777777" w:rsidR="003E59CE" w:rsidRPr="003E59CE" w:rsidRDefault="003E59CE" w:rsidP="003E59CE">
            <w:pPr>
              <w:ind w:left="113" w:right="113"/>
              <w:jc w:val="center"/>
              <w:rPr>
                <w:rFonts w:ascii="Arial Narrow" w:eastAsia="Times New Roman" w:hAnsi="Arial Narrow" w:cs="Arial"/>
                <w:b/>
                <w:lang w:eastAsia="en-AU"/>
              </w:rPr>
            </w:pPr>
            <w:bookmarkStart w:id="0" w:name="TemplateOverview"/>
            <w:bookmarkEnd w:id="0"/>
            <w:r w:rsidRPr="003E59CE">
              <w:rPr>
                <w:rFonts w:ascii="Arial Narrow" w:eastAsia="Times New Roman" w:hAnsi="Arial Narrow" w:cs="Arial"/>
                <w:b/>
                <w:lang w:eastAsia="en-AU"/>
              </w:rPr>
              <w:t>Excelling</w:t>
            </w:r>
          </w:p>
        </w:tc>
        <w:tc>
          <w:tcPr>
            <w:tcW w:w="10344" w:type="dxa"/>
            <w:tcBorders>
              <w:right w:val="single" w:sz="24" w:space="0" w:color="auto"/>
            </w:tcBorders>
            <w:shd w:val="clear" w:color="auto" w:fill="auto"/>
            <w:vAlign w:val="center"/>
          </w:tcPr>
          <w:p w14:paraId="51F2AFF0" w14:textId="77777777" w:rsidR="003E59CE" w:rsidRPr="003E59CE" w:rsidRDefault="003E59CE" w:rsidP="003E59CE">
            <w:pPr>
              <w:jc w:val="center"/>
              <w:rPr>
                <w:rFonts w:ascii="Arial Narrow" w:eastAsia="Times New Roman" w:hAnsi="Arial Narrow" w:cs="Times New Roman"/>
                <w:sz w:val="18"/>
                <w:szCs w:val="18"/>
                <w:lang w:eastAsia="en-AU"/>
              </w:rPr>
            </w:pPr>
            <w:r w:rsidRPr="003E59CE">
              <w:rPr>
                <w:rFonts w:ascii="Arial Narrow" w:eastAsia="Cambria" w:hAnsi="Arial Narrow" w:cs="Arial"/>
                <w:sz w:val="18"/>
                <w:szCs w:val="18"/>
                <w:lang w:eastAsia="en-AU"/>
              </w:rPr>
              <w:t>Demonstrates a thorough understanding of all key concepts and knowledge underpinning the task/s including the characteristics of and strategies to contribute to a healthy workplace; the National Employment Standards and methods for determining pay and conditions; the characteristics, processes and consequences for breaches of workplace bullying, discrimination and sexual harassment; appropriate questioning and listening techniques within a workplace, and how to develop networks, professional relationships and work in teams.</w:t>
            </w:r>
          </w:p>
        </w:tc>
        <w:tc>
          <w:tcPr>
            <w:tcW w:w="10344" w:type="dxa"/>
            <w:tcBorders>
              <w:left w:val="single" w:sz="24" w:space="0" w:color="auto"/>
            </w:tcBorders>
            <w:shd w:val="clear" w:color="auto" w:fill="auto"/>
            <w:vAlign w:val="center"/>
          </w:tcPr>
          <w:p w14:paraId="6654779E" w14:textId="77777777" w:rsidR="003E59CE" w:rsidRPr="003E59CE" w:rsidRDefault="003E59CE" w:rsidP="003E59CE">
            <w:pPr>
              <w:jc w:val="center"/>
              <w:rPr>
                <w:rFonts w:ascii="Arial Narrow" w:eastAsia="Cambria" w:hAnsi="Arial Narrow" w:cs="Arial"/>
                <w:sz w:val="18"/>
                <w:szCs w:val="18"/>
                <w:lang w:eastAsia="en-AU"/>
              </w:rPr>
            </w:pPr>
            <w:r w:rsidRPr="003E59CE">
              <w:rPr>
                <w:rFonts w:ascii="Arial Narrow" w:eastAsia="Cambria" w:hAnsi="Arial Narrow" w:cs="Arial"/>
                <w:sz w:val="18"/>
                <w:szCs w:val="18"/>
                <w:lang w:eastAsia="en-AU"/>
              </w:rPr>
              <w:t xml:space="preserve">Can identify and explain key ideas and concepts related to workplace structures and relations. Can discuss, compare, </w:t>
            </w:r>
            <w:proofErr w:type="gramStart"/>
            <w:r w:rsidRPr="003E59CE">
              <w:rPr>
                <w:rFonts w:ascii="Arial Narrow" w:eastAsia="Cambria" w:hAnsi="Arial Narrow" w:cs="Arial"/>
                <w:sz w:val="18"/>
                <w:szCs w:val="18"/>
                <w:lang w:eastAsia="en-AU"/>
              </w:rPr>
              <w:t>analyse</w:t>
            </w:r>
            <w:proofErr w:type="gramEnd"/>
            <w:r w:rsidRPr="003E59CE">
              <w:rPr>
                <w:rFonts w:ascii="Arial Narrow" w:eastAsia="Cambria" w:hAnsi="Arial Narrow" w:cs="Arial"/>
                <w:sz w:val="18"/>
                <w:szCs w:val="18"/>
                <w:lang w:eastAsia="en-AU"/>
              </w:rPr>
              <w:t xml:space="preserve"> and evaluate concepts and strategies related to workplace environment, processes and practices. Can propose and justify strategies to improve workplace environment. Can identify, explain, </w:t>
            </w:r>
            <w:proofErr w:type="gramStart"/>
            <w:r w:rsidRPr="003E59CE">
              <w:rPr>
                <w:rFonts w:ascii="Arial Narrow" w:eastAsia="Cambria" w:hAnsi="Arial Narrow" w:cs="Arial"/>
                <w:sz w:val="18"/>
                <w:szCs w:val="18"/>
                <w:lang w:eastAsia="en-AU"/>
              </w:rPr>
              <w:t>research</w:t>
            </w:r>
            <w:proofErr w:type="gramEnd"/>
            <w:r w:rsidRPr="003E59CE">
              <w:rPr>
                <w:rFonts w:ascii="Arial Narrow" w:eastAsia="Cambria" w:hAnsi="Arial Narrow" w:cs="Arial"/>
                <w:sz w:val="18"/>
                <w:szCs w:val="18"/>
                <w:lang w:eastAsia="en-AU"/>
              </w:rPr>
              <w:t xml:space="preserve"> and discuss roles in the workplace, workplace communication and relationships. Can apply learning thoroughly to real world scenarios or case studies.</w:t>
            </w:r>
          </w:p>
        </w:tc>
      </w:tr>
      <w:tr w:rsidR="003E59CE" w:rsidRPr="003E59CE" w14:paraId="4E797734" w14:textId="77777777" w:rsidTr="003E59CE">
        <w:trPr>
          <w:cantSplit/>
          <w:trHeight w:val="2036"/>
        </w:trPr>
        <w:tc>
          <w:tcPr>
            <w:tcW w:w="680" w:type="dxa"/>
            <w:shd w:val="clear" w:color="auto" w:fill="auto"/>
            <w:textDirection w:val="tbRl"/>
            <w:vAlign w:val="center"/>
          </w:tcPr>
          <w:p w14:paraId="6517DBB6" w14:textId="77777777" w:rsidR="003E59CE" w:rsidRPr="003E59CE" w:rsidRDefault="003E59CE" w:rsidP="003E59CE">
            <w:pPr>
              <w:ind w:left="113" w:right="113"/>
              <w:jc w:val="center"/>
              <w:rPr>
                <w:rFonts w:ascii="Arial Narrow" w:eastAsia="Times New Roman" w:hAnsi="Arial Narrow" w:cs="Arial"/>
                <w:b/>
                <w:lang w:eastAsia="en-AU"/>
              </w:rPr>
            </w:pPr>
            <w:r w:rsidRPr="003E59CE">
              <w:rPr>
                <w:rFonts w:ascii="Arial Narrow" w:eastAsia="Times New Roman" w:hAnsi="Arial Narrow" w:cs="Arial"/>
                <w:b/>
                <w:lang w:eastAsia="en-AU"/>
              </w:rPr>
              <w:t>Achieving</w:t>
            </w:r>
          </w:p>
        </w:tc>
        <w:tc>
          <w:tcPr>
            <w:tcW w:w="10344" w:type="dxa"/>
            <w:tcBorders>
              <w:right w:val="single" w:sz="24" w:space="0" w:color="auto"/>
            </w:tcBorders>
            <w:shd w:val="clear" w:color="auto" w:fill="auto"/>
            <w:vAlign w:val="center"/>
          </w:tcPr>
          <w:p w14:paraId="5F54C9B4" w14:textId="77777777" w:rsidR="003E59CE" w:rsidRPr="003E59CE" w:rsidRDefault="003E59CE" w:rsidP="003E59CE">
            <w:pPr>
              <w:jc w:val="center"/>
              <w:rPr>
                <w:rFonts w:ascii="Arial Narrow" w:eastAsia="Times New Roman" w:hAnsi="Arial Narrow" w:cs="Times New Roman"/>
                <w:sz w:val="18"/>
                <w:szCs w:val="18"/>
                <w:lang w:eastAsia="en-AU"/>
              </w:rPr>
            </w:pPr>
            <w:r w:rsidRPr="003E59CE">
              <w:rPr>
                <w:rFonts w:ascii="Arial Narrow" w:eastAsia="Cambria" w:hAnsi="Arial Narrow" w:cs="Arial"/>
                <w:sz w:val="18"/>
                <w:szCs w:val="18"/>
                <w:lang w:eastAsia="en-AU"/>
              </w:rPr>
              <w:t>Demonstrates an understanding of the key concepts and knowledge underpinning the task/s including the characteristics of and strategies to contribute to a healthy workplace; the National Employment Standards and methods for determining pay and conditions; the characteristics, processes and consequences for breaches of workplace bullying, discrimination and sexual harassment; appropriate questioning and listening techniques within a workplace, and how to develop networks, professional relationships and work in teams.</w:t>
            </w:r>
          </w:p>
        </w:tc>
        <w:tc>
          <w:tcPr>
            <w:tcW w:w="10344" w:type="dxa"/>
            <w:tcBorders>
              <w:left w:val="single" w:sz="24" w:space="0" w:color="auto"/>
            </w:tcBorders>
            <w:shd w:val="clear" w:color="auto" w:fill="auto"/>
            <w:vAlign w:val="center"/>
          </w:tcPr>
          <w:p w14:paraId="52CAF081" w14:textId="77777777" w:rsidR="003E59CE" w:rsidRPr="003E59CE" w:rsidRDefault="003E59CE" w:rsidP="003E59CE">
            <w:pPr>
              <w:jc w:val="center"/>
              <w:rPr>
                <w:rFonts w:ascii="Arial Narrow" w:eastAsia="Times New Roman" w:hAnsi="Arial Narrow" w:cs="Times New Roman"/>
                <w:sz w:val="18"/>
                <w:szCs w:val="18"/>
                <w:lang w:eastAsia="en-AU"/>
              </w:rPr>
            </w:pPr>
            <w:r w:rsidRPr="003E59CE">
              <w:rPr>
                <w:rFonts w:ascii="Arial Narrow" w:eastAsia="Cambria" w:hAnsi="Arial Narrow" w:cs="Arial"/>
                <w:sz w:val="18"/>
                <w:szCs w:val="18"/>
                <w:lang w:eastAsia="en-AU"/>
              </w:rPr>
              <w:t xml:space="preserve">Can identify and explain key ideas and concepts related to workplace structures and relations. Can discuss, </w:t>
            </w:r>
            <w:proofErr w:type="gramStart"/>
            <w:r w:rsidRPr="003E59CE">
              <w:rPr>
                <w:rFonts w:ascii="Arial Narrow" w:eastAsia="Cambria" w:hAnsi="Arial Narrow" w:cs="Arial"/>
                <w:sz w:val="18"/>
                <w:szCs w:val="18"/>
                <w:lang w:eastAsia="en-AU"/>
              </w:rPr>
              <w:t>compare</w:t>
            </w:r>
            <w:proofErr w:type="gramEnd"/>
            <w:r w:rsidRPr="003E59CE">
              <w:rPr>
                <w:rFonts w:ascii="Arial Narrow" w:eastAsia="Cambria" w:hAnsi="Arial Narrow" w:cs="Arial"/>
                <w:sz w:val="18"/>
                <w:szCs w:val="18"/>
                <w:lang w:eastAsia="en-AU"/>
              </w:rPr>
              <w:t xml:space="preserve"> and analyse concepts and strategies related to workplace environment, processes and practices. Can propose strategies to improve workplace environment. Can identify, </w:t>
            </w:r>
            <w:proofErr w:type="gramStart"/>
            <w:r w:rsidRPr="003E59CE">
              <w:rPr>
                <w:rFonts w:ascii="Arial Narrow" w:eastAsia="Cambria" w:hAnsi="Arial Narrow" w:cs="Arial"/>
                <w:sz w:val="18"/>
                <w:szCs w:val="18"/>
                <w:lang w:eastAsia="en-AU"/>
              </w:rPr>
              <w:t>explain</w:t>
            </w:r>
            <w:proofErr w:type="gramEnd"/>
            <w:r w:rsidRPr="003E59CE">
              <w:rPr>
                <w:rFonts w:ascii="Arial Narrow" w:eastAsia="Cambria" w:hAnsi="Arial Narrow" w:cs="Arial"/>
                <w:sz w:val="18"/>
                <w:szCs w:val="18"/>
                <w:lang w:eastAsia="en-AU"/>
              </w:rPr>
              <w:t xml:space="preserve"> and research roles in the workplace, workplace communication and relationships. Can apply learning to real world scenarios or case studies.</w:t>
            </w:r>
          </w:p>
        </w:tc>
      </w:tr>
      <w:tr w:rsidR="003E59CE" w:rsidRPr="003E59CE" w14:paraId="0E782551" w14:textId="77777777" w:rsidTr="003E59CE">
        <w:trPr>
          <w:cantSplit/>
          <w:trHeight w:val="2091"/>
        </w:trPr>
        <w:tc>
          <w:tcPr>
            <w:tcW w:w="680" w:type="dxa"/>
            <w:shd w:val="clear" w:color="auto" w:fill="auto"/>
            <w:textDirection w:val="tbRl"/>
            <w:vAlign w:val="center"/>
          </w:tcPr>
          <w:p w14:paraId="24DEE6C6" w14:textId="77777777" w:rsidR="003E59CE" w:rsidRPr="003E59CE" w:rsidRDefault="003E59CE" w:rsidP="003E59CE">
            <w:pPr>
              <w:ind w:left="113" w:right="113"/>
              <w:jc w:val="center"/>
              <w:rPr>
                <w:rFonts w:ascii="Arial Narrow" w:eastAsia="Times New Roman" w:hAnsi="Arial Narrow" w:cs="Arial"/>
                <w:b/>
                <w:lang w:eastAsia="en-AU"/>
              </w:rPr>
            </w:pPr>
            <w:r w:rsidRPr="003E59CE">
              <w:rPr>
                <w:rFonts w:ascii="Arial Narrow" w:eastAsia="Times New Roman" w:hAnsi="Arial Narrow" w:cs="Arial"/>
                <w:b/>
                <w:lang w:eastAsia="en-AU"/>
              </w:rPr>
              <w:t>Satisfactory</w:t>
            </w:r>
          </w:p>
        </w:tc>
        <w:tc>
          <w:tcPr>
            <w:tcW w:w="10344" w:type="dxa"/>
            <w:tcBorders>
              <w:right w:val="single" w:sz="24" w:space="0" w:color="auto"/>
            </w:tcBorders>
            <w:shd w:val="clear" w:color="auto" w:fill="auto"/>
            <w:vAlign w:val="center"/>
          </w:tcPr>
          <w:p w14:paraId="16480E74" w14:textId="77777777" w:rsidR="003E59CE" w:rsidRPr="003E59CE" w:rsidRDefault="003E59CE" w:rsidP="003E59CE">
            <w:pPr>
              <w:jc w:val="center"/>
              <w:rPr>
                <w:rFonts w:ascii="Arial Narrow" w:eastAsia="Cambria" w:hAnsi="Arial Narrow" w:cs="Arial"/>
                <w:sz w:val="18"/>
                <w:szCs w:val="18"/>
                <w:lang w:eastAsia="en-AU"/>
              </w:rPr>
            </w:pPr>
            <w:r w:rsidRPr="003E59CE">
              <w:rPr>
                <w:rFonts w:ascii="Arial Narrow" w:eastAsia="Cambria" w:hAnsi="Arial Narrow" w:cs="Arial"/>
                <w:sz w:val="18"/>
                <w:szCs w:val="18"/>
                <w:lang w:eastAsia="en-AU"/>
              </w:rPr>
              <w:t>Developing an understanding of the key concepts and knowledge underpinning the task/s including the characteristics of and strategies to contribute to a healthy workplace; the National Employment Standards and methods for determining pay and conditions; the characteristics, processes and consequences for breaches of workplace bullying, discrimination and sexual harassment; appropriate questioning and listening techniques within a workplace, and how to develop networks, professional relationships and work in teams.</w:t>
            </w:r>
          </w:p>
        </w:tc>
        <w:tc>
          <w:tcPr>
            <w:tcW w:w="10344" w:type="dxa"/>
            <w:tcBorders>
              <w:left w:val="single" w:sz="24" w:space="0" w:color="auto"/>
            </w:tcBorders>
            <w:shd w:val="clear" w:color="auto" w:fill="auto"/>
            <w:vAlign w:val="center"/>
          </w:tcPr>
          <w:p w14:paraId="655F276B" w14:textId="77777777" w:rsidR="003E59CE" w:rsidRPr="003E59CE" w:rsidRDefault="003E59CE" w:rsidP="003E59CE">
            <w:pPr>
              <w:jc w:val="center"/>
              <w:rPr>
                <w:rFonts w:ascii="Arial Narrow" w:eastAsia="Times New Roman" w:hAnsi="Arial Narrow" w:cs="Times New Roman"/>
                <w:sz w:val="18"/>
                <w:szCs w:val="18"/>
                <w:lang w:eastAsia="en-AU"/>
              </w:rPr>
            </w:pPr>
            <w:r w:rsidRPr="003E59CE">
              <w:rPr>
                <w:rFonts w:ascii="Arial Narrow" w:eastAsia="Cambria" w:hAnsi="Arial Narrow" w:cs="Arial"/>
                <w:sz w:val="18"/>
                <w:szCs w:val="18"/>
                <w:lang w:eastAsia="en-AU"/>
              </w:rPr>
              <w:t xml:space="preserve">Can identify key ideas and concepts related to workplace structures and relations. Can discuss and compare concepts and strategies related to workplace environment, </w:t>
            </w:r>
            <w:proofErr w:type="gramStart"/>
            <w:r w:rsidRPr="003E59CE">
              <w:rPr>
                <w:rFonts w:ascii="Arial Narrow" w:eastAsia="Cambria" w:hAnsi="Arial Narrow" w:cs="Arial"/>
                <w:sz w:val="18"/>
                <w:szCs w:val="18"/>
                <w:lang w:eastAsia="en-AU"/>
              </w:rPr>
              <w:t>processes</w:t>
            </w:r>
            <w:proofErr w:type="gramEnd"/>
            <w:r w:rsidRPr="003E59CE">
              <w:rPr>
                <w:rFonts w:ascii="Arial Narrow" w:eastAsia="Cambria" w:hAnsi="Arial Narrow" w:cs="Arial"/>
                <w:sz w:val="18"/>
                <w:szCs w:val="18"/>
                <w:lang w:eastAsia="en-AU"/>
              </w:rPr>
              <w:t xml:space="preserve"> and practices. Can identify strategies to improve workplace environment. Can identify and research roles in the workplace, workplace communication and relationships. Can apply learning to real world scenarios or case studies with support.</w:t>
            </w:r>
          </w:p>
        </w:tc>
      </w:tr>
      <w:tr w:rsidR="003E59CE" w:rsidRPr="003E59CE" w14:paraId="0784BB85" w14:textId="77777777" w:rsidTr="003E59CE">
        <w:trPr>
          <w:cantSplit/>
          <w:trHeight w:val="2176"/>
        </w:trPr>
        <w:tc>
          <w:tcPr>
            <w:tcW w:w="680" w:type="dxa"/>
            <w:shd w:val="clear" w:color="auto" w:fill="auto"/>
            <w:textDirection w:val="tbRl"/>
            <w:vAlign w:val="center"/>
          </w:tcPr>
          <w:p w14:paraId="323C480D" w14:textId="77777777" w:rsidR="003E59CE" w:rsidRPr="003E59CE" w:rsidRDefault="003E59CE" w:rsidP="003E59CE">
            <w:pPr>
              <w:ind w:left="113" w:right="113"/>
              <w:jc w:val="center"/>
              <w:rPr>
                <w:rFonts w:ascii="Arial Narrow" w:eastAsia="Times New Roman" w:hAnsi="Arial Narrow" w:cs="Arial"/>
                <w:b/>
                <w:lang w:eastAsia="en-AU"/>
              </w:rPr>
            </w:pPr>
            <w:r w:rsidRPr="003E59CE">
              <w:rPr>
                <w:rFonts w:ascii="Arial Narrow" w:eastAsia="Times New Roman" w:hAnsi="Arial Narrow" w:cs="Arial"/>
                <w:b/>
                <w:lang w:eastAsia="en-AU"/>
              </w:rPr>
              <w:t>Not yet satisfactory</w:t>
            </w:r>
          </w:p>
        </w:tc>
        <w:tc>
          <w:tcPr>
            <w:tcW w:w="10344" w:type="dxa"/>
            <w:tcBorders>
              <w:right w:val="single" w:sz="24" w:space="0" w:color="auto"/>
            </w:tcBorders>
            <w:shd w:val="clear" w:color="auto" w:fill="auto"/>
            <w:vAlign w:val="center"/>
          </w:tcPr>
          <w:p w14:paraId="4DA4FA55" w14:textId="77777777" w:rsidR="003E59CE" w:rsidRPr="003E59CE" w:rsidRDefault="003E59CE" w:rsidP="003E59CE">
            <w:pPr>
              <w:jc w:val="center"/>
              <w:rPr>
                <w:rFonts w:ascii="Arial Narrow" w:eastAsia="Times New Roman" w:hAnsi="Arial Narrow" w:cs="Times New Roman"/>
                <w:sz w:val="18"/>
                <w:szCs w:val="18"/>
                <w:lang w:eastAsia="en-AU"/>
              </w:rPr>
            </w:pPr>
            <w:r w:rsidRPr="003E59CE">
              <w:rPr>
                <w:rFonts w:ascii="Arial Narrow" w:eastAsia="Cambria" w:hAnsi="Arial Narrow" w:cs="Arial"/>
                <w:sz w:val="18"/>
                <w:szCs w:val="18"/>
                <w:lang w:eastAsia="en-AU"/>
              </w:rPr>
              <w:t>Beginning to understand the key concepts and knowledge underpinning the task/s including the characteristics of and strategies to contribute to a healthy workplace; the National Employment Standards and methods for determining pay and conditions; the characteristics, processes and consequences for breaches of workplace bullying, discrimination and sexual harassment; appropriate questioning and listening techniques within a workplace, and how to develop networks, professional relationships and work in teams.</w:t>
            </w:r>
          </w:p>
        </w:tc>
        <w:tc>
          <w:tcPr>
            <w:tcW w:w="10344" w:type="dxa"/>
            <w:tcBorders>
              <w:left w:val="single" w:sz="24" w:space="0" w:color="auto"/>
            </w:tcBorders>
            <w:shd w:val="clear" w:color="auto" w:fill="auto"/>
            <w:vAlign w:val="center"/>
          </w:tcPr>
          <w:p w14:paraId="4D246007" w14:textId="77777777" w:rsidR="003E59CE" w:rsidRPr="003E59CE" w:rsidRDefault="003E59CE" w:rsidP="003E59CE">
            <w:pPr>
              <w:jc w:val="center"/>
              <w:rPr>
                <w:rFonts w:ascii="Arial Narrow" w:eastAsia="Times New Roman" w:hAnsi="Arial Narrow" w:cs="Times New Roman"/>
                <w:sz w:val="18"/>
                <w:szCs w:val="18"/>
                <w:lang w:eastAsia="en-AU"/>
              </w:rPr>
            </w:pPr>
            <w:r w:rsidRPr="003E59CE">
              <w:rPr>
                <w:rFonts w:ascii="Arial Narrow" w:eastAsia="Cambria" w:hAnsi="Arial Narrow" w:cs="Arial"/>
                <w:sz w:val="18"/>
                <w:szCs w:val="18"/>
                <w:lang w:eastAsia="en-AU"/>
              </w:rPr>
              <w:t xml:space="preserve">Can identify some key ideas and concepts related to workplace structures and relations. Can identify concepts and strategies related to workplace environment, </w:t>
            </w:r>
            <w:proofErr w:type="gramStart"/>
            <w:r w:rsidRPr="003E59CE">
              <w:rPr>
                <w:rFonts w:ascii="Arial Narrow" w:eastAsia="Cambria" w:hAnsi="Arial Narrow" w:cs="Arial"/>
                <w:sz w:val="18"/>
                <w:szCs w:val="18"/>
                <w:lang w:eastAsia="en-AU"/>
              </w:rPr>
              <w:t>processes</w:t>
            </w:r>
            <w:proofErr w:type="gramEnd"/>
            <w:r w:rsidRPr="003E59CE">
              <w:rPr>
                <w:rFonts w:ascii="Arial Narrow" w:eastAsia="Cambria" w:hAnsi="Arial Narrow" w:cs="Arial"/>
                <w:sz w:val="18"/>
                <w:szCs w:val="18"/>
                <w:lang w:eastAsia="en-AU"/>
              </w:rPr>
              <w:t xml:space="preserve"> and practices. Can identify strategies to improve workplace environment. Can identify roles in the workplace, workplace communication and relationships. Can apply learning to real world scenarios or case studies with support.</w:t>
            </w:r>
          </w:p>
        </w:tc>
      </w:tr>
      <w:tr w:rsidR="003E59CE" w:rsidRPr="003E59CE" w14:paraId="1BB1B634" w14:textId="77777777" w:rsidTr="003E59CE">
        <w:trPr>
          <w:cantSplit/>
          <w:trHeight w:val="610"/>
        </w:trPr>
        <w:tc>
          <w:tcPr>
            <w:tcW w:w="680" w:type="dxa"/>
            <w:vMerge w:val="restart"/>
            <w:shd w:val="clear" w:color="auto" w:fill="auto"/>
            <w:textDirection w:val="tbRl"/>
            <w:vAlign w:val="center"/>
          </w:tcPr>
          <w:p w14:paraId="0A1AA207" w14:textId="77777777" w:rsidR="003E59CE" w:rsidRPr="003E59CE" w:rsidRDefault="003E59CE" w:rsidP="003E59CE">
            <w:pPr>
              <w:ind w:left="113" w:right="113"/>
              <w:jc w:val="center"/>
              <w:rPr>
                <w:rFonts w:ascii="Arial Narrow" w:eastAsia="Times New Roman" w:hAnsi="Arial Narrow" w:cs="Arial"/>
                <w:b/>
                <w:lang w:eastAsia="en-AU"/>
              </w:rPr>
            </w:pPr>
            <w:r w:rsidRPr="003E59CE">
              <w:rPr>
                <w:rFonts w:ascii="Arial Narrow" w:eastAsia="Times New Roman" w:hAnsi="Arial Narrow" w:cs="Arial"/>
                <w:b/>
                <w:lang w:eastAsia="en-AU"/>
              </w:rPr>
              <w:t>Criteria</w:t>
            </w:r>
          </w:p>
        </w:tc>
        <w:tc>
          <w:tcPr>
            <w:tcW w:w="10344" w:type="dxa"/>
            <w:tcBorders>
              <w:right w:val="single" w:sz="24" w:space="0" w:color="auto"/>
            </w:tcBorders>
            <w:shd w:val="clear" w:color="auto" w:fill="auto"/>
            <w:vAlign w:val="center"/>
          </w:tcPr>
          <w:p w14:paraId="3AC6AFAC" w14:textId="77777777" w:rsidR="003E59CE" w:rsidRPr="003E59CE" w:rsidRDefault="003E59CE" w:rsidP="003E59CE">
            <w:pPr>
              <w:jc w:val="center"/>
              <w:rPr>
                <w:rFonts w:ascii="Arial Narrow" w:eastAsia="Times New Roman" w:hAnsi="Arial Narrow" w:cs="Times New Roman"/>
                <w:b/>
                <w:bCs/>
                <w:sz w:val="36"/>
                <w:szCs w:val="36"/>
                <w:lang w:eastAsia="en-AU"/>
              </w:rPr>
            </w:pPr>
            <w:r w:rsidRPr="003E59CE">
              <w:rPr>
                <w:rFonts w:ascii="Arial Narrow" w:eastAsia="Times New Roman" w:hAnsi="Arial Narrow" w:cs="Times New Roman"/>
                <w:b/>
                <w:bCs/>
                <w:sz w:val="36"/>
                <w:szCs w:val="36"/>
                <w:lang w:eastAsia="en-AU"/>
              </w:rPr>
              <w:t>Key knowledge</w:t>
            </w:r>
          </w:p>
        </w:tc>
        <w:tc>
          <w:tcPr>
            <w:tcW w:w="10344" w:type="dxa"/>
            <w:tcBorders>
              <w:left w:val="single" w:sz="24" w:space="0" w:color="auto"/>
            </w:tcBorders>
            <w:shd w:val="clear" w:color="auto" w:fill="auto"/>
            <w:vAlign w:val="center"/>
          </w:tcPr>
          <w:p w14:paraId="734E3E1C" w14:textId="77777777" w:rsidR="003E59CE" w:rsidRPr="003E59CE" w:rsidRDefault="003E59CE" w:rsidP="003E59CE">
            <w:pPr>
              <w:jc w:val="center"/>
              <w:rPr>
                <w:rFonts w:ascii="Arial Narrow" w:eastAsia="Times New Roman" w:hAnsi="Arial Narrow" w:cs="Times New Roman"/>
                <w:b/>
                <w:bCs/>
                <w:sz w:val="36"/>
                <w:szCs w:val="36"/>
                <w:lang w:eastAsia="en-AU"/>
              </w:rPr>
            </w:pPr>
            <w:r w:rsidRPr="003E59CE">
              <w:rPr>
                <w:rFonts w:ascii="Arial Narrow" w:eastAsia="Times New Roman" w:hAnsi="Arial Narrow" w:cs="Times New Roman"/>
                <w:b/>
                <w:bCs/>
                <w:sz w:val="36"/>
                <w:szCs w:val="36"/>
                <w:lang w:eastAsia="en-AU"/>
              </w:rPr>
              <w:t>Key skills</w:t>
            </w:r>
          </w:p>
        </w:tc>
      </w:tr>
      <w:tr w:rsidR="003E59CE" w:rsidRPr="003E59CE" w14:paraId="3FFAAFC7" w14:textId="77777777" w:rsidTr="003E59CE">
        <w:trPr>
          <w:cantSplit/>
          <w:trHeight w:val="130"/>
        </w:trPr>
        <w:tc>
          <w:tcPr>
            <w:tcW w:w="680" w:type="dxa"/>
            <w:vMerge/>
            <w:shd w:val="clear" w:color="auto" w:fill="auto"/>
            <w:textDirection w:val="tbRl"/>
            <w:vAlign w:val="center"/>
          </w:tcPr>
          <w:p w14:paraId="0BA7B073" w14:textId="77777777" w:rsidR="003E59CE" w:rsidRPr="003E59CE" w:rsidRDefault="003E59CE" w:rsidP="003E59CE">
            <w:pPr>
              <w:ind w:left="113" w:right="113"/>
              <w:jc w:val="center"/>
              <w:rPr>
                <w:rFonts w:ascii="Arial Narrow" w:eastAsia="Times New Roman" w:hAnsi="Arial Narrow" w:cs="Arial"/>
                <w:b/>
                <w:lang w:eastAsia="en-AU"/>
              </w:rPr>
            </w:pPr>
          </w:p>
        </w:tc>
        <w:tc>
          <w:tcPr>
            <w:tcW w:w="10344" w:type="dxa"/>
            <w:tcBorders>
              <w:right w:val="single" w:sz="24" w:space="0" w:color="auto"/>
            </w:tcBorders>
            <w:shd w:val="clear" w:color="auto" w:fill="auto"/>
            <w:vAlign w:val="center"/>
          </w:tcPr>
          <w:p w14:paraId="3B28F129" w14:textId="77777777" w:rsidR="003E59CE" w:rsidRPr="003E59CE" w:rsidRDefault="003E59CE" w:rsidP="003E59CE">
            <w:pPr>
              <w:jc w:val="center"/>
              <w:rPr>
                <w:rFonts w:ascii="Arial Narrow" w:eastAsia="Times New Roman" w:hAnsi="Arial Narrow" w:cs="Times New Roman"/>
                <w:sz w:val="28"/>
                <w:szCs w:val="28"/>
                <w:lang w:eastAsia="en-AU"/>
              </w:rPr>
            </w:pPr>
            <w:r w:rsidRPr="003E59CE">
              <w:rPr>
                <w:rFonts w:ascii="Arial Narrow" w:eastAsia="Times New Roman" w:hAnsi="Arial Narrow" w:cs="Times New Roman"/>
                <w:sz w:val="28"/>
                <w:szCs w:val="28"/>
                <w:lang w:eastAsia="en-AU"/>
              </w:rPr>
              <w:t>Activities 1–10</w:t>
            </w:r>
          </w:p>
        </w:tc>
        <w:tc>
          <w:tcPr>
            <w:tcW w:w="10344" w:type="dxa"/>
            <w:tcBorders>
              <w:left w:val="single" w:sz="24" w:space="0" w:color="auto"/>
            </w:tcBorders>
            <w:shd w:val="clear" w:color="auto" w:fill="auto"/>
            <w:vAlign w:val="center"/>
          </w:tcPr>
          <w:p w14:paraId="2CB89361" w14:textId="77777777" w:rsidR="003E59CE" w:rsidRPr="003E59CE" w:rsidRDefault="003E59CE" w:rsidP="003E59CE">
            <w:pPr>
              <w:jc w:val="center"/>
              <w:rPr>
                <w:rFonts w:ascii="Arial Narrow" w:eastAsia="Times New Roman" w:hAnsi="Arial Narrow" w:cs="Times New Roman"/>
                <w:sz w:val="28"/>
                <w:szCs w:val="28"/>
                <w:lang w:eastAsia="en-AU"/>
              </w:rPr>
            </w:pPr>
            <w:r w:rsidRPr="003E59CE">
              <w:rPr>
                <w:rFonts w:ascii="Arial Narrow" w:eastAsia="Times New Roman" w:hAnsi="Arial Narrow" w:cs="Times New Roman"/>
                <w:sz w:val="28"/>
                <w:szCs w:val="28"/>
                <w:lang w:eastAsia="en-AU"/>
              </w:rPr>
              <w:t>Activities 1–10</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B4699B0" w:rsidR="00A922F4" w:rsidRPr="00D86DE4" w:rsidRDefault="003E59CE"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3, Outcome 1-3 - Skills &amp; Knowledge</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89189947">
    <w:abstractNumId w:val="8"/>
  </w:num>
  <w:num w:numId="2" w16cid:durableId="1289504498">
    <w:abstractNumId w:val="6"/>
  </w:num>
  <w:num w:numId="3" w16cid:durableId="28457807">
    <w:abstractNumId w:val="3"/>
  </w:num>
  <w:num w:numId="4" w16cid:durableId="572936984">
    <w:abstractNumId w:val="0"/>
  </w:num>
  <w:num w:numId="5" w16cid:durableId="1544515874">
    <w:abstractNumId w:val="7"/>
  </w:num>
  <w:num w:numId="6" w16cid:durableId="1035733301">
    <w:abstractNumId w:val="9"/>
  </w:num>
  <w:num w:numId="7" w16cid:durableId="1098067048">
    <w:abstractNumId w:val="2"/>
  </w:num>
  <w:num w:numId="8" w16cid:durableId="1096710467">
    <w:abstractNumId w:val="1"/>
  </w:num>
  <w:num w:numId="9" w16cid:durableId="1403526075">
    <w:abstractNumId w:val="5"/>
  </w:num>
  <w:num w:numId="10" w16cid:durableId="142085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rgUA3uJ4LSwAAAA="/>
  </w:docVars>
  <w:rsids>
    <w:rsidRoot w:val="00EC4FF7"/>
    <w:rsid w:val="00003885"/>
    <w:rsid w:val="0003270F"/>
    <w:rsid w:val="0003772A"/>
    <w:rsid w:val="0005780E"/>
    <w:rsid w:val="00065CC6"/>
    <w:rsid w:val="000A71F7"/>
    <w:rsid w:val="000E60B8"/>
    <w:rsid w:val="000F09E4"/>
    <w:rsid w:val="000F0FE6"/>
    <w:rsid w:val="000F16FD"/>
    <w:rsid w:val="0015274C"/>
    <w:rsid w:val="00181ABF"/>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3E59CE"/>
    <w:rsid w:val="00417AA3"/>
    <w:rsid w:val="00440B32"/>
    <w:rsid w:val="00447636"/>
    <w:rsid w:val="0046078D"/>
    <w:rsid w:val="004A2ED8"/>
    <w:rsid w:val="004F30FB"/>
    <w:rsid w:val="004F5BDA"/>
    <w:rsid w:val="0051631E"/>
    <w:rsid w:val="00537A1F"/>
    <w:rsid w:val="00566029"/>
    <w:rsid w:val="00570B45"/>
    <w:rsid w:val="005923CB"/>
    <w:rsid w:val="00596B77"/>
    <w:rsid w:val="005B066C"/>
    <w:rsid w:val="005B391B"/>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8012D2"/>
    <w:rsid w:val="00813C37"/>
    <w:rsid w:val="008154B5"/>
    <w:rsid w:val="00823962"/>
    <w:rsid w:val="00852719"/>
    <w:rsid w:val="00860115"/>
    <w:rsid w:val="0088783C"/>
    <w:rsid w:val="008A74EB"/>
    <w:rsid w:val="008E210E"/>
    <w:rsid w:val="009370BC"/>
    <w:rsid w:val="00946FF5"/>
    <w:rsid w:val="00970580"/>
    <w:rsid w:val="00983362"/>
    <w:rsid w:val="0098739B"/>
    <w:rsid w:val="009A5E59"/>
    <w:rsid w:val="009B61E5"/>
    <w:rsid w:val="009D1E89"/>
    <w:rsid w:val="00A17661"/>
    <w:rsid w:val="00A24B2D"/>
    <w:rsid w:val="00A40966"/>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B68E8"/>
    <w:rsid w:val="00D00600"/>
    <w:rsid w:val="00D04F01"/>
    <w:rsid w:val="00D06414"/>
    <w:rsid w:val="00D338E4"/>
    <w:rsid w:val="00D51947"/>
    <w:rsid w:val="00D532F0"/>
    <w:rsid w:val="00D75D2A"/>
    <w:rsid w:val="00D77413"/>
    <w:rsid w:val="00D82759"/>
    <w:rsid w:val="00D83EB1"/>
    <w:rsid w:val="00D85BBF"/>
    <w:rsid w:val="00D86DE4"/>
    <w:rsid w:val="00DE51DB"/>
    <w:rsid w:val="00DE63A4"/>
    <w:rsid w:val="00E23F1D"/>
    <w:rsid w:val="00E30E05"/>
    <w:rsid w:val="00E36361"/>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4E88-5E08-4CE2-A6FE-7A74C9443B3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Outcome 1-3 - Skills &amp; Knowledge</dc:title>
  <dc:creator>Derek Tolan</dc:creator>
  <cp:lastModifiedBy>Thomas Heeren</cp:lastModifiedBy>
  <cp:revision>2</cp:revision>
  <cp:lastPrinted>2015-05-15T02:36:00Z</cp:lastPrinted>
  <dcterms:created xsi:type="dcterms:W3CDTF">2022-04-20T06:46:00Z</dcterms:created>
  <dcterms:modified xsi:type="dcterms:W3CDTF">2022-04-20T06:46:00Z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