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1A421" w14:textId="77777777" w:rsidR="00267736" w:rsidRPr="0008140D" w:rsidRDefault="00267736" w:rsidP="00267736">
      <w:pPr>
        <w:rPr>
          <w:rFonts w:ascii="Arial" w:hAnsi="Arial" w:cs="Arial"/>
          <w:b/>
        </w:rPr>
      </w:pPr>
      <w:bookmarkStart w:id="0" w:name="_GoBack"/>
      <w:bookmarkEnd w:id="0"/>
      <w:r w:rsidRPr="0008140D">
        <w:rPr>
          <w:rFonts w:ascii="Arial" w:hAnsi="Arial" w:cs="Arial"/>
          <w:b/>
        </w:rPr>
        <w:t>This Learn</w:t>
      </w:r>
      <w:r w:rsidR="00B82B8B" w:rsidRPr="0008140D">
        <w:rPr>
          <w:rFonts w:ascii="Arial" w:hAnsi="Arial" w:cs="Arial"/>
          <w:b/>
        </w:rPr>
        <w:t>ing Progression begins at Foundation Level</w:t>
      </w:r>
      <w:r w:rsidR="00E10BA6" w:rsidRPr="0008140D">
        <w:rPr>
          <w:rFonts w:ascii="Arial" w:hAnsi="Arial" w:cs="Arial"/>
          <w:b/>
        </w:rPr>
        <w:t xml:space="preserve"> </w:t>
      </w:r>
      <w:r w:rsidRPr="0008140D">
        <w:rPr>
          <w:rFonts w:ascii="Arial" w:hAnsi="Arial" w:cs="Arial"/>
          <w:b/>
        </w:rPr>
        <w:t>of the Victorian Cur</w:t>
      </w:r>
      <w:r w:rsidR="00C52226" w:rsidRPr="0008140D">
        <w:rPr>
          <w:rFonts w:ascii="Arial" w:hAnsi="Arial" w:cs="Arial"/>
          <w:b/>
        </w:rPr>
        <w:t>r</w:t>
      </w:r>
      <w:r w:rsidR="00B82B8B" w:rsidRPr="0008140D">
        <w:rPr>
          <w:rFonts w:ascii="Arial" w:hAnsi="Arial" w:cs="Arial"/>
          <w:b/>
        </w:rPr>
        <w:t>iculum and concludes at Level 9</w:t>
      </w:r>
      <w:r w:rsidRPr="0008140D">
        <w:rPr>
          <w:rFonts w:ascii="Arial" w:hAnsi="Arial" w:cs="Arial"/>
          <w:b/>
        </w:rPr>
        <w:t xml:space="preserve">. </w:t>
      </w:r>
      <w:r w:rsidR="00C52226" w:rsidRPr="0008140D">
        <w:rPr>
          <w:rFonts w:ascii="Arial" w:hAnsi="Arial" w:cs="Arial"/>
          <w:b/>
        </w:rPr>
        <w:t>Seven</w:t>
      </w:r>
      <w:r w:rsidRPr="0008140D">
        <w:rPr>
          <w:rFonts w:ascii="Arial" w:hAnsi="Arial" w:cs="Arial"/>
          <w:b/>
        </w:rPr>
        <w:t xml:space="preserve"> progressions are provided in this span.</w:t>
      </w:r>
    </w:p>
    <w:p w14:paraId="309244EE" w14:textId="77777777" w:rsidR="00C52226" w:rsidRPr="0008140D" w:rsidRDefault="00267736" w:rsidP="00C52226">
      <w:pPr>
        <w:pStyle w:val="Default"/>
        <w:rPr>
          <w:sz w:val="22"/>
          <w:szCs w:val="22"/>
        </w:rPr>
      </w:pPr>
      <w:r w:rsidRPr="0008140D">
        <w:rPr>
          <w:i/>
          <w:sz w:val="22"/>
          <w:szCs w:val="22"/>
        </w:rPr>
        <w:t>Description:</w:t>
      </w:r>
      <w:r w:rsidRPr="0008140D">
        <w:rPr>
          <w:sz w:val="22"/>
          <w:szCs w:val="22"/>
        </w:rPr>
        <w:t xml:space="preserve"> </w:t>
      </w:r>
      <w:r w:rsidR="00C52226" w:rsidRPr="0008140D">
        <w:rPr>
          <w:sz w:val="22"/>
          <w:szCs w:val="22"/>
        </w:rPr>
        <w:t xml:space="preserve">This </w:t>
      </w:r>
      <w:r w:rsidR="00B82B8B" w:rsidRPr="0008140D">
        <w:rPr>
          <w:sz w:val="22"/>
          <w:szCs w:val="22"/>
        </w:rPr>
        <w:t>Learning Progression</w:t>
      </w:r>
      <w:r w:rsidR="00C52226" w:rsidRPr="0008140D">
        <w:rPr>
          <w:sz w:val="22"/>
          <w:szCs w:val="22"/>
        </w:rPr>
        <w:t xml:space="preserve"> describes how a student becomes increasingly proficient at active listening, strategic and respectful questioning</w:t>
      </w:r>
      <w:r w:rsidR="008443AE">
        <w:rPr>
          <w:sz w:val="22"/>
          <w:szCs w:val="22"/>
        </w:rPr>
        <w:t>,</w:t>
      </w:r>
      <w:r w:rsidR="00C52226" w:rsidRPr="0008140D">
        <w:rPr>
          <w:sz w:val="22"/>
          <w:szCs w:val="22"/>
        </w:rPr>
        <w:t xml:space="preserve"> and using language to share information and negotiate meaning and outcomes. Students interact across an increasing range of curriculum contexts and purposes in pair, group or whole-class oral interactions. This </w:t>
      </w:r>
      <w:r w:rsidR="00B82B8B" w:rsidRPr="0008140D">
        <w:rPr>
          <w:sz w:val="22"/>
          <w:szCs w:val="22"/>
        </w:rPr>
        <w:t>Learning Progression</w:t>
      </w:r>
      <w:r w:rsidR="00C52226" w:rsidRPr="0008140D">
        <w:rPr>
          <w:sz w:val="22"/>
          <w:szCs w:val="22"/>
        </w:rPr>
        <w:t xml:space="preserve"> focuses on the development of two-way interaction processes to clarify and create understanding.</w:t>
      </w:r>
    </w:p>
    <w:p w14:paraId="766B281D" w14:textId="77777777" w:rsidR="00C52226" w:rsidRPr="0008140D" w:rsidRDefault="00C52226" w:rsidP="00C52226">
      <w:pPr>
        <w:pStyle w:val="Default"/>
        <w:rPr>
          <w:sz w:val="22"/>
          <w:szCs w:val="22"/>
        </w:rPr>
      </w:pPr>
    </w:p>
    <w:p w14:paraId="07EECF95" w14:textId="77777777" w:rsidR="00C52226" w:rsidRPr="0008140D" w:rsidRDefault="00B82B8B" w:rsidP="00C52226">
      <w:pPr>
        <w:pStyle w:val="Default"/>
        <w:rPr>
          <w:sz w:val="22"/>
          <w:szCs w:val="22"/>
        </w:rPr>
      </w:pPr>
      <w:r w:rsidRPr="0008140D">
        <w:rPr>
          <w:i/>
          <w:sz w:val="22"/>
          <w:szCs w:val="22"/>
        </w:rPr>
        <w:t>Related Learning Progressions:</w:t>
      </w:r>
      <w:r w:rsidRPr="0008140D">
        <w:rPr>
          <w:sz w:val="22"/>
          <w:szCs w:val="22"/>
        </w:rPr>
        <w:t xml:space="preserve"> </w:t>
      </w:r>
      <w:r w:rsidR="00C52226" w:rsidRPr="0008140D">
        <w:rPr>
          <w:sz w:val="22"/>
          <w:szCs w:val="22"/>
        </w:rPr>
        <w:t xml:space="preserve">This is closely related to the </w:t>
      </w:r>
      <w:r w:rsidRPr="0008140D">
        <w:rPr>
          <w:sz w:val="22"/>
          <w:szCs w:val="22"/>
        </w:rPr>
        <w:t xml:space="preserve">Learning Progressions of </w:t>
      </w:r>
      <w:r w:rsidR="00C52226" w:rsidRPr="0008140D">
        <w:rPr>
          <w:i/>
          <w:sz w:val="22"/>
          <w:szCs w:val="22"/>
        </w:rPr>
        <w:t>Listening</w:t>
      </w:r>
      <w:r w:rsidR="00C52226" w:rsidRPr="0008140D">
        <w:rPr>
          <w:sz w:val="22"/>
          <w:szCs w:val="22"/>
        </w:rPr>
        <w:t xml:space="preserve"> and </w:t>
      </w:r>
      <w:r w:rsidR="00C52226" w:rsidRPr="0008140D">
        <w:rPr>
          <w:i/>
          <w:sz w:val="22"/>
          <w:szCs w:val="22"/>
        </w:rPr>
        <w:t>Speaking</w:t>
      </w:r>
      <w:r w:rsidR="00C52226" w:rsidRPr="0008140D">
        <w:rPr>
          <w:sz w:val="22"/>
          <w:szCs w:val="22"/>
        </w:rPr>
        <w:t>.</w:t>
      </w:r>
    </w:p>
    <w:p w14:paraId="6F9E4218" w14:textId="77777777" w:rsidR="00C52226" w:rsidRPr="00C52226" w:rsidRDefault="00C52226" w:rsidP="00C52226">
      <w:pPr>
        <w:pStyle w:val="Default"/>
        <w:rPr>
          <w:sz w:val="22"/>
          <w:szCs w:val="22"/>
        </w:rPr>
      </w:pPr>
    </w:p>
    <w:p w14:paraId="255A910D" w14:textId="77777777" w:rsidR="0008140D" w:rsidRPr="00F93FFF" w:rsidRDefault="0008140D" w:rsidP="00787702">
      <w:pPr>
        <w:pStyle w:val="VCAAbody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1"/>
        <w:gridCol w:w="3021"/>
        <w:gridCol w:w="3020"/>
        <w:gridCol w:w="3020"/>
        <w:gridCol w:w="2572"/>
        <w:gridCol w:w="448"/>
        <w:gridCol w:w="3020"/>
        <w:gridCol w:w="2965"/>
        <w:gridCol w:w="63"/>
      </w:tblGrid>
      <w:tr w:rsidR="00B82B8B" w:rsidRPr="00C52226" w14:paraId="065778ED" w14:textId="77777777" w:rsidTr="00B82B8B">
        <w:trPr>
          <w:gridAfter w:val="1"/>
          <w:wAfter w:w="15" w:type="pct"/>
          <w:trHeight w:val="139"/>
        </w:trPr>
        <w:tc>
          <w:tcPr>
            <w:tcW w:w="3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1E7B5CCB" w14:textId="77777777" w:rsidR="00B82B8B" w:rsidRPr="00C52226" w:rsidRDefault="00B82B8B" w:rsidP="001B535F">
            <w:pPr>
              <w:pStyle w:val="VCAAtablecondensedheading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Victorian Curriculum Foundation Level 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DA38CA4" w14:textId="77777777" w:rsidR="00B82B8B" w:rsidRPr="00C52226" w:rsidRDefault="00B82B8B" w:rsidP="001B535F">
            <w:pPr>
              <w:pStyle w:val="VCAAtablecondensedheading"/>
              <w:jc w:val="right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Victorian Curriculum Level 9</w:t>
            </w:r>
          </w:p>
        </w:tc>
      </w:tr>
      <w:tr w:rsidR="00C52226" w:rsidRPr="00C52226" w14:paraId="65ED099F" w14:textId="77777777" w:rsidTr="00932142">
        <w:tc>
          <w:tcPr>
            <w:tcW w:w="714" w:type="pct"/>
          </w:tcPr>
          <w:p w14:paraId="64C6CDA0" w14:textId="77777777" w:rsidR="00C52226" w:rsidRPr="00CD4DFA" w:rsidRDefault="00C52226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9CB4F70" w14:textId="77777777" w:rsidR="00932142" w:rsidRPr="00CD4DFA" w:rsidRDefault="00932142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4DFA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47B34D22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shares simple ideas with peers </w:t>
            </w:r>
          </w:p>
          <w:p w14:paraId="44A2FC33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responds to questions in class discussion </w:t>
            </w:r>
          </w:p>
          <w:p w14:paraId="3BB20B1E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listens without interrupting </w:t>
            </w:r>
          </w:p>
          <w:p w14:paraId="38614887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uses non-verbal responses (nods) </w:t>
            </w:r>
          </w:p>
          <w:p w14:paraId="07283997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>uses home language or dialect to interact with familiar peers and adults</w:t>
            </w:r>
            <w:r w:rsidR="00932142" w:rsidRPr="00CD4DFA">
              <w:rPr>
                <w:rFonts w:ascii="Arial Narrow" w:hAnsi="Arial Narrow"/>
                <w:sz w:val="22"/>
                <w:szCs w:val="22"/>
              </w:rPr>
              <w:t>.</w:t>
            </w:r>
            <w:r w:rsidRPr="00CD4D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D360177" w14:textId="77777777" w:rsidR="00C52226" w:rsidRPr="00CD4DFA" w:rsidRDefault="00C52226">
            <w:pPr>
              <w:rPr>
                <w:rFonts w:ascii="Arial Narrow" w:hAnsi="Arial Narrow" w:cs="Arial"/>
              </w:rPr>
            </w:pPr>
          </w:p>
        </w:tc>
        <w:tc>
          <w:tcPr>
            <w:tcW w:w="714" w:type="pct"/>
          </w:tcPr>
          <w:p w14:paraId="0BE30122" w14:textId="77777777" w:rsidR="00C52226" w:rsidRPr="00CD4DFA" w:rsidRDefault="00C52226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1EAF3318" w14:textId="77777777" w:rsidR="00932142" w:rsidRPr="00CD4DFA" w:rsidRDefault="00932142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4DFA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4247ECF8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contributes simple ideas and shares personal experiences to participate in informal group discussions </w:t>
            </w:r>
          </w:p>
          <w:p w14:paraId="5C5ACA59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shows signs of active listening, looks at the speaker </w:t>
            </w:r>
          </w:p>
          <w:p w14:paraId="22119386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shows beginning awareness of discussion conventions (pauses when another speaker starts) </w:t>
            </w:r>
          </w:p>
          <w:p w14:paraId="17553155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>uses appropriate language or dialect to interact with speakers of the same language</w:t>
            </w:r>
            <w:r w:rsidR="00932142" w:rsidRPr="00CD4DFA">
              <w:rPr>
                <w:rFonts w:ascii="Arial Narrow" w:hAnsi="Arial Narrow"/>
                <w:sz w:val="22"/>
                <w:szCs w:val="22"/>
              </w:rPr>
              <w:t>.</w:t>
            </w:r>
            <w:r w:rsidRPr="00CD4D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A523F74" w14:textId="77777777" w:rsidR="00C52226" w:rsidRPr="00CD4DFA" w:rsidRDefault="00C52226">
            <w:pPr>
              <w:rPr>
                <w:rFonts w:ascii="Arial Narrow" w:hAnsi="Arial Narrow" w:cs="Arial"/>
              </w:rPr>
            </w:pPr>
          </w:p>
        </w:tc>
        <w:tc>
          <w:tcPr>
            <w:tcW w:w="714" w:type="pct"/>
          </w:tcPr>
          <w:p w14:paraId="00591A1D" w14:textId="77777777" w:rsidR="00C52226" w:rsidRPr="00CD4DFA" w:rsidRDefault="00C52226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54B7D42" w14:textId="77777777" w:rsidR="00932142" w:rsidRPr="00CD4DFA" w:rsidRDefault="00932142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4DFA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6C114C0E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actively listens to stay on topic in a small group discussion </w:t>
            </w:r>
          </w:p>
          <w:p w14:paraId="6E9F9FB5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joins in small group and whole-class discussion </w:t>
            </w:r>
          </w:p>
          <w:p w14:paraId="7CBECEDF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>asks relevant questions for clarification or to find out others’ ideas (What do you think about that?)</w:t>
            </w:r>
          </w:p>
          <w:p w14:paraId="3F134569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takes turns as speaker and listener </w:t>
            </w:r>
          </w:p>
          <w:p w14:paraId="615AA57C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interacts using appropriate language in pairs or </w:t>
            </w:r>
            <w:r w:rsidR="00932142" w:rsidRPr="00CD4DFA">
              <w:rPr>
                <w:rFonts w:ascii="Arial Narrow" w:hAnsi="Arial Narrow"/>
                <w:sz w:val="22"/>
                <w:szCs w:val="22"/>
              </w:rPr>
              <w:t>a small group to complete tasks.</w:t>
            </w:r>
          </w:p>
          <w:p w14:paraId="6D8B65CE" w14:textId="77777777" w:rsidR="00C52226" w:rsidRPr="00CD4DFA" w:rsidRDefault="00C52226">
            <w:pPr>
              <w:rPr>
                <w:rFonts w:ascii="Arial Narrow" w:hAnsi="Arial Narrow" w:cs="Arial"/>
              </w:rPr>
            </w:pPr>
          </w:p>
          <w:p w14:paraId="17CD6EEC" w14:textId="77777777" w:rsidR="00C52226" w:rsidRPr="00CD4DFA" w:rsidRDefault="00C52226" w:rsidP="00C52226">
            <w:pPr>
              <w:rPr>
                <w:rFonts w:ascii="Arial Narrow" w:hAnsi="Arial Narrow" w:cs="Arial"/>
              </w:rPr>
            </w:pPr>
          </w:p>
        </w:tc>
        <w:tc>
          <w:tcPr>
            <w:tcW w:w="714" w:type="pct"/>
          </w:tcPr>
          <w:p w14:paraId="3F251A8B" w14:textId="77777777" w:rsidR="00C52226" w:rsidRPr="00CD4DFA" w:rsidRDefault="00C52226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D7812ED" w14:textId="77777777" w:rsidR="00932142" w:rsidRPr="00CD4DFA" w:rsidRDefault="00932142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4DFA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527ACC10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interacts to extend and elaborate ideas in a discussion (provides an additional example) </w:t>
            </w:r>
          </w:p>
          <w:p w14:paraId="4BF363F8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presents simple ideas clearly in group situations </w:t>
            </w:r>
          </w:p>
          <w:p w14:paraId="534EF8FC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actively encourages or supports other speakers </w:t>
            </w:r>
          </w:p>
          <w:p w14:paraId="17B2B7DC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shows awareness of discussion conventions (uses appropriate language to express agreement and disagreement in class discussions) </w:t>
            </w:r>
          </w:p>
          <w:p w14:paraId="3E44445F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>uses language to initiate interactions in a small gro</w:t>
            </w:r>
            <w:r w:rsidR="00932142" w:rsidRPr="00CD4DFA">
              <w:rPr>
                <w:rFonts w:ascii="Arial Narrow" w:hAnsi="Arial Narrow"/>
                <w:sz w:val="22"/>
                <w:szCs w:val="22"/>
              </w:rPr>
              <w:t>up situation (‘I have an idea’).</w:t>
            </w:r>
          </w:p>
          <w:p w14:paraId="5BFFB4FF" w14:textId="77777777" w:rsidR="00C52226" w:rsidRPr="00CD4DFA" w:rsidRDefault="00C52226">
            <w:pPr>
              <w:rPr>
                <w:rFonts w:ascii="Arial Narrow" w:hAnsi="Arial Narrow" w:cs="Arial"/>
              </w:rPr>
            </w:pPr>
          </w:p>
        </w:tc>
        <w:tc>
          <w:tcPr>
            <w:tcW w:w="714" w:type="pct"/>
            <w:gridSpan w:val="2"/>
          </w:tcPr>
          <w:p w14:paraId="7BCF7539" w14:textId="77777777" w:rsidR="00C52226" w:rsidRPr="00CD4DFA" w:rsidRDefault="00C52226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0D0FCB2" w14:textId="77777777" w:rsidR="00932142" w:rsidRPr="00CD4DFA" w:rsidRDefault="00932142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4DFA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4C7B3592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interacts to critically evaluate ideas and refine meaning </w:t>
            </w:r>
          </w:p>
          <w:p w14:paraId="2DC2F403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explains new learning from interacting with others </w:t>
            </w:r>
          </w:p>
          <w:p w14:paraId="2B17E5FE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uses a range of strategies for effective dialogue (questions claims made by a speaker or presents an alternative point to the previous speaker) </w:t>
            </w:r>
          </w:p>
          <w:p w14:paraId="4EDEFF04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initiates interactions confidently in group and whole-class discussions </w:t>
            </w:r>
          </w:p>
          <w:p w14:paraId="5BEA09B4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asks pertinent questions to make connections between a range of ideas </w:t>
            </w:r>
          </w:p>
          <w:p w14:paraId="3C8322A5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uses open questions to prompt a speaker to provide more information </w:t>
            </w:r>
          </w:p>
          <w:p w14:paraId="0DD4EF22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clarifies task goals and negotiates roles in group learning </w:t>
            </w:r>
          </w:p>
          <w:p w14:paraId="3CE6A100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monitors discussion to manage digression from the topic </w:t>
            </w:r>
          </w:p>
          <w:p w14:paraId="76BB58EF" w14:textId="77777777" w:rsidR="00932142" w:rsidRPr="00CD4DFA" w:rsidRDefault="00C52226" w:rsidP="00932142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>identifies and articulates a point of view of a speaker, to move a conversation forward</w:t>
            </w:r>
            <w:r w:rsidR="00932142" w:rsidRPr="00CD4DFA">
              <w:rPr>
                <w:rFonts w:ascii="Arial Narrow" w:hAnsi="Arial Narrow"/>
                <w:sz w:val="22"/>
                <w:szCs w:val="22"/>
              </w:rPr>
              <w:t>.</w:t>
            </w:r>
            <w:r w:rsidRPr="00CD4D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C4FC429" w14:textId="77777777" w:rsidR="00CA450A" w:rsidRPr="00CD4DFA" w:rsidRDefault="00CA450A" w:rsidP="00CA450A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pct"/>
          </w:tcPr>
          <w:p w14:paraId="6B250BC5" w14:textId="77777777" w:rsidR="00C52226" w:rsidRPr="00CD4DFA" w:rsidRDefault="00C52226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7416B39" w14:textId="77777777" w:rsidR="00932142" w:rsidRPr="00CD4DFA" w:rsidRDefault="00932142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4DFA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73BB177C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synthesises ideas from group discussion into a common theme or hypothesis </w:t>
            </w:r>
          </w:p>
          <w:p w14:paraId="6B80EF93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poses problems, hypothesises and formulates questions about abstract ideas in group situations </w:t>
            </w:r>
          </w:p>
          <w:p w14:paraId="4C73BA3C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restates different views and makes suggestions to negotiate agreement </w:t>
            </w:r>
          </w:p>
          <w:p w14:paraId="0EBC75ED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asks questions to clarify assumptions made by the speaker </w:t>
            </w:r>
          </w:p>
          <w:p w14:paraId="6F04CEAD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questions others to evaluate accuracy of thinking or problem-solving processes </w:t>
            </w:r>
          </w:p>
          <w:p w14:paraId="2679AAED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interacts with school or the broader community, adjusting language and responses to suit purpose and audience </w:t>
            </w:r>
          </w:p>
          <w:p w14:paraId="249F051D" w14:textId="77777777" w:rsidR="00C52226" w:rsidRPr="00CD4DFA" w:rsidRDefault="00C52226" w:rsidP="00932142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>uses language to align the listener with personal position (of course,</w:t>
            </w:r>
            <w:r w:rsidR="00932142" w:rsidRPr="00CD4DFA">
              <w:rPr>
                <w:rFonts w:ascii="Arial Narrow" w:hAnsi="Arial Narrow"/>
                <w:sz w:val="22"/>
                <w:szCs w:val="22"/>
              </w:rPr>
              <w:t xml:space="preserve"> as you can imagine, obviously).</w:t>
            </w:r>
          </w:p>
        </w:tc>
        <w:tc>
          <w:tcPr>
            <w:tcW w:w="716" w:type="pct"/>
            <w:gridSpan w:val="2"/>
          </w:tcPr>
          <w:p w14:paraId="0393FA29" w14:textId="77777777" w:rsidR="00C52226" w:rsidRPr="00CD4DFA" w:rsidRDefault="00C52226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5EF0BB74" w14:textId="77777777" w:rsidR="00932142" w:rsidRPr="00CD4DFA" w:rsidRDefault="00932142" w:rsidP="00C5222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D4DFA">
              <w:rPr>
                <w:rFonts w:ascii="Arial Narrow" w:hAnsi="Arial Narrow"/>
                <w:color w:val="auto"/>
                <w:sz w:val="22"/>
                <w:szCs w:val="22"/>
              </w:rPr>
              <w:t>The student:</w:t>
            </w:r>
          </w:p>
          <w:p w14:paraId="545432B2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gives an extended explanation and evaluation of a complex concept, issue or process </w:t>
            </w:r>
          </w:p>
          <w:p w14:paraId="3D29C389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 xml:space="preserve">justifies a personal stance, after analysis of arguments on a particular issue, using evidence and elaboration in a group situation </w:t>
            </w:r>
          </w:p>
          <w:p w14:paraId="063F35B1" w14:textId="77777777" w:rsidR="00C52226" w:rsidRPr="00CD4DFA" w:rsidRDefault="00C52226" w:rsidP="00C52226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CD4DFA">
              <w:rPr>
                <w:rFonts w:ascii="Arial Narrow" w:hAnsi="Arial Narrow"/>
                <w:sz w:val="22"/>
                <w:szCs w:val="22"/>
              </w:rPr>
              <w:t>uses language strategically to subtly align others to own point of view</w:t>
            </w:r>
            <w:r w:rsidR="00932142" w:rsidRPr="00CD4DFA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1FB6F63" w14:textId="77777777" w:rsidR="00C52226" w:rsidRPr="00CD4DFA" w:rsidRDefault="00C52226">
            <w:pPr>
              <w:ind w:firstLine="720"/>
              <w:rPr>
                <w:rFonts w:ascii="Arial Narrow" w:hAnsi="Arial Narrow" w:cs="Arial"/>
              </w:rPr>
            </w:pPr>
          </w:p>
        </w:tc>
      </w:tr>
    </w:tbl>
    <w:p w14:paraId="28B77AAB" w14:textId="77777777" w:rsidR="004F6A73" w:rsidRPr="00932142" w:rsidRDefault="00932142" w:rsidP="0024004B">
      <w:pPr>
        <w:spacing w:before="120"/>
        <w:rPr>
          <w:rFonts w:ascii="Arial" w:hAnsi="Arial" w:cs="Arial"/>
          <w:color w:val="000000" w:themeColor="text1"/>
          <w:lang w:val="en-AU"/>
        </w:rPr>
      </w:pPr>
      <w:r w:rsidRPr="00932142">
        <w:rPr>
          <w:rFonts w:ascii="Arial" w:hAnsi="Arial" w:cs="Arial"/>
          <w:color w:val="000000" w:themeColor="text1"/>
        </w:rPr>
        <w:t>Student learning in literacy has links beyond English in the Victorian Curriculum F–10.  Teachers are encouraged to identify links within the</w:t>
      </w:r>
      <w:r>
        <w:rPr>
          <w:rFonts w:ascii="Arial" w:hAnsi="Arial" w:cs="Arial"/>
          <w:color w:val="000000" w:themeColor="text1"/>
        </w:rPr>
        <w:t>ir teaching and learning plans.</w:t>
      </w:r>
    </w:p>
    <w:sectPr w:rsidR="004F6A73" w:rsidRPr="00932142" w:rsidSect="002677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724E" w14:textId="77777777" w:rsidR="00787702" w:rsidRDefault="00787702" w:rsidP="00304EA1">
      <w:pPr>
        <w:spacing w:after="0" w:line="240" w:lineRule="auto"/>
      </w:pPr>
      <w:r>
        <w:separator/>
      </w:r>
    </w:p>
  </w:endnote>
  <w:endnote w:type="continuationSeparator" w:id="0">
    <w:p w14:paraId="02FEB2AE" w14:textId="77777777" w:rsidR="00787702" w:rsidRDefault="007877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787702" w14:paraId="508C766E" w14:textId="77777777" w:rsidTr="004754A7">
      <w:trPr>
        <w:trHeight w:val="701"/>
      </w:trPr>
      <w:tc>
        <w:tcPr>
          <w:tcW w:w="7230" w:type="dxa"/>
          <w:vAlign w:val="center"/>
        </w:tcPr>
        <w:p w14:paraId="4060AF2C" w14:textId="77777777" w:rsidR="00787702" w:rsidRPr="002329F3" w:rsidRDefault="0078770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582CFA55" w14:textId="77777777" w:rsidR="00787702" w:rsidRPr="00B41951" w:rsidRDefault="0078770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7A834DA" w14:textId="77777777" w:rsidR="00787702" w:rsidRPr="00243F0D" w:rsidRDefault="0078770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787702" w14:paraId="29142526" w14:textId="77777777" w:rsidTr="000B5CC5">
      <w:trPr>
        <w:trHeight w:val="993"/>
      </w:trPr>
      <w:tc>
        <w:tcPr>
          <w:tcW w:w="8613" w:type="dxa"/>
          <w:vAlign w:val="center"/>
        </w:tcPr>
        <w:p w14:paraId="3269DB3A" w14:textId="6D939E82" w:rsidR="00787702" w:rsidRPr="004A2ED8" w:rsidRDefault="00152250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787702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787702">
            <w:rPr>
              <w:color w:val="000000"/>
              <w:sz w:val="20"/>
              <w:szCs w:val="20"/>
            </w:rPr>
            <w:t> </w:t>
          </w:r>
          <w:r w:rsidR="00787702">
            <w:rPr>
              <w:color w:val="999999"/>
              <w:sz w:val="20"/>
              <w:szCs w:val="20"/>
            </w:rPr>
            <w:t xml:space="preserve">© 2018 </w:t>
          </w:r>
        </w:p>
      </w:tc>
      <w:tc>
        <w:tcPr>
          <w:tcW w:w="3261" w:type="dxa"/>
          <w:shd w:val="clear" w:color="auto" w:fill="auto"/>
          <w:vAlign w:val="center"/>
        </w:tcPr>
        <w:p w14:paraId="220C1E7B" w14:textId="77777777" w:rsidR="00787702" w:rsidRPr="00B41951" w:rsidRDefault="00787702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45FA296D" w14:textId="2692BE0E" w:rsidR="00787702" w:rsidRDefault="00787702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04E1E186" w14:textId="77777777" w:rsidR="00787702" w:rsidRDefault="0078770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BC14" w14:textId="77777777" w:rsidR="00787702" w:rsidRDefault="00787702" w:rsidP="00304EA1">
      <w:pPr>
        <w:spacing w:after="0" w:line="240" w:lineRule="auto"/>
      </w:pPr>
      <w:r>
        <w:separator/>
      </w:r>
    </w:p>
  </w:footnote>
  <w:footnote w:type="continuationSeparator" w:id="0">
    <w:p w14:paraId="3A349E34" w14:textId="77777777" w:rsidR="00787702" w:rsidRDefault="007877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85020C7" w14:textId="77777777" w:rsidR="00787702" w:rsidRPr="00D86DE4" w:rsidRDefault="0078770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Literacy Learning Progression – Interacting – Foundation to Level 9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5C4C" w14:textId="765C0AD0" w:rsidR="00787702" w:rsidRPr="00CB3B5A" w:rsidRDefault="00787702" w:rsidP="00787702">
    <w:pPr>
      <w:pStyle w:val="VCAADocumenttitle"/>
      <w:spacing w:before="0" w:after="0"/>
      <w:ind w:left="2880" w:firstLine="720"/>
      <w:rPr>
        <w:sz w:val="32"/>
        <w:szCs w:val="32"/>
      </w:rPr>
    </w:pPr>
    <w:r>
      <w:drawing>
        <wp:anchor distT="0" distB="0" distL="114300" distR="114300" simplePos="0" relativeHeight="251658240" behindDoc="0" locked="0" layoutInCell="1" allowOverlap="1" wp14:anchorId="4A0DA96C" wp14:editId="092968D5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4A769A1" wp14:editId="758C0C7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sdt>
      <w:sdtPr>
        <w:rPr>
          <w:sz w:val="28"/>
          <w:szCs w:val="32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E7B68">
          <w:rPr>
            <w:sz w:val="28"/>
            <w:szCs w:val="32"/>
          </w:rPr>
          <w:t>Literacy Learning Progression – Interacting – Foundation to Level 9 span</w:t>
        </w:r>
      </w:sdtContent>
    </w:sdt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0856"/>
    <w:multiLevelType w:val="hybridMultilevel"/>
    <w:tmpl w:val="A8B2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C82A43"/>
    <w:multiLevelType w:val="hybridMultilevel"/>
    <w:tmpl w:val="BB3216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50954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B4696"/>
    <w:multiLevelType w:val="hybridMultilevel"/>
    <w:tmpl w:val="47027C3C"/>
    <w:lvl w:ilvl="0" w:tplc="7A66FF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7228"/>
    <w:rsid w:val="00037D17"/>
    <w:rsid w:val="000577DC"/>
    <w:rsid w:val="0005780E"/>
    <w:rsid w:val="0008140D"/>
    <w:rsid w:val="000A71F7"/>
    <w:rsid w:val="000B5B53"/>
    <w:rsid w:val="000B5CC5"/>
    <w:rsid w:val="000D1D6F"/>
    <w:rsid w:val="000E4A92"/>
    <w:rsid w:val="000F09E4"/>
    <w:rsid w:val="000F16FD"/>
    <w:rsid w:val="00111C27"/>
    <w:rsid w:val="001209DB"/>
    <w:rsid w:val="00152250"/>
    <w:rsid w:val="0015344B"/>
    <w:rsid w:val="00156019"/>
    <w:rsid w:val="00164D7A"/>
    <w:rsid w:val="00172E14"/>
    <w:rsid w:val="00180973"/>
    <w:rsid w:val="001A772A"/>
    <w:rsid w:val="001B535F"/>
    <w:rsid w:val="001B64E5"/>
    <w:rsid w:val="001C73C5"/>
    <w:rsid w:val="001D184E"/>
    <w:rsid w:val="001E5ED4"/>
    <w:rsid w:val="002233AF"/>
    <w:rsid w:val="002279BA"/>
    <w:rsid w:val="002329F3"/>
    <w:rsid w:val="00237C1A"/>
    <w:rsid w:val="0024004B"/>
    <w:rsid w:val="00243F0D"/>
    <w:rsid w:val="00256DB1"/>
    <w:rsid w:val="002647BB"/>
    <w:rsid w:val="00264F9D"/>
    <w:rsid w:val="002654C5"/>
    <w:rsid w:val="00267736"/>
    <w:rsid w:val="002754C1"/>
    <w:rsid w:val="002841C8"/>
    <w:rsid w:val="0028516B"/>
    <w:rsid w:val="00286695"/>
    <w:rsid w:val="002C6F90"/>
    <w:rsid w:val="002E48F7"/>
    <w:rsid w:val="002F2BC5"/>
    <w:rsid w:val="00302FB8"/>
    <w:rsid w:val="00304874"/>
    <w:rsid w:val="00304EA1"/>
    <w:rsid w:val="00314D81"/>
    <w:rsid w:val="00322FC6"/>
    <w:rsid w:val="003369B8"/>
    <w:rsid w:val="00372723"/>
    <w:rsid w:val="00391986"/>
    <w:rsid w:val="003946E4"/>
    <w:rsid w:val="003A3C3D"/>
    <w:rsid w:val="003C44C2"/>
    <w:rsid w:val="003E412B"/>
    <w:rsid w:val="00400A2A"/>
    <w:rsid w:val="00416B45"/>
    <w:rsid w:val="00417AA3"/>
    <w:rsid w:val="004227FE"/>
    <w:rsid w:val="00440B32"/>
    <w:rsid w:val="00455A1A"/>
    <w:rsid w:val="0046078D"/>
    <w:rsid w:val="004754A7"/>
    <w:rsid w:val="004A2ED8"/>
    <w:rsid w:val="004D7466"/>
    <w:rsid w:val="004E469F"/>
    <w:rsid w:val="004F219A"/>
    <w:rsid w:val="004F5BDA"/>
    <w:rsid w:val="004F6A73"/>
    <w:rsid w:val="0051382C"/>
    <w:rsid w:val="0051631E"/>
    <w:rsid w:val="00517861"/>
    <w:rsid w:val="00526666"/>
    <w:rsid w:val="00550D0C"/>
    <w:rsid w:val="00566029"/>
    <w:rsid w:val="005923CB"/>
    <w:rsid w:val="005942A0"/>
    <w:rsid w:val="005B391B"/>
    <w:rsid w:val="005D3D78"/>
    <w:rsid w:val="005E2EF0"/>
    <w:rsid w:val="00607D1F"/>
    <w:rsid w:val="00612D18"/>
    <w:rsid w:val="006207A6"/>
    <w:rsid w:val="00635C51"/>
    <w:rsid w:val="00636604"/>
    <w:rsid w:val="00662A5F"/>
    <w:rsid w:val="00671D4D"/>
    <w:rsid w:val="00693FFD"/>
    <w:rsid w:val="006B4A21"/>
    <w:rsid w:val="006C0696"/>
    <w:rsid w:val="006D08F8"/>
    <w:rsid w:val="006D2159"/>
    <w:rsid w:val="006E0642"/>
    <w:rsid w:val="006F787C"/>
    <w:rsid w:val="00702636"/>
    <w:rsid w:val="007157CE"/>
    <w:rsid w:val="00724507"/>
    <w:rsid w:val="00736F5F"/>
    <w:rsid w:val="0074078C"/>
    <w:rsid w:val="00751217"/>
    <w:rsid w:val="00752E46"/>
    <w:rsid w:val="0076106A"/>
    <w:rsid w:val="00773E6C"/>
    <w:rsid w:val="00787702"/>
    <w:rsid w:val="00791393"/>
    <w:rsid w:val="007A6FCF"/>
    <w:rsid w:val="007B186E"/>
    <w:rsid w:val="007F76C4"/>
    <w:rsid w:val="00806F44"/>
    <w:rsid w:val="00813C37"/>
    <w:rsid w:val="008154B5"/>
    <w:rsid w:val="00823962"/>
    <w:rsid w:val="00826049"/>
    <w:rsid w:val="00831E1D"/>
    <w:rsid w:val="00832F5C"/>
    <w:rsid w:val="008443AE"/>
    <w:rsid w:val="00852719"/>
    <w:rsid w:val="00860115"/>
    <w:rsid w:val="00862D7A"/>
    <w:rsid w:val="00867E82"/>
    <w:rsid w:val="00871D52"/>
    <w:rsid w:val="00874F03"/>
    <w:rsid w:val="0088783C"/>
    <w:rsid w:val="008E7B68"/>
    <w:rsid w:val="0092704D"/>
    <w:rsid w:val="00932142"/>
    <w:rsid w:val="00934256"/>
    <w:rsid w:val="009370BC"/>
    <w:rsid w:val="0098739B"/>
    <w:rsid w:val="009939E5"/>
    <w:rsid w:val="00A17661"/>
    <w:rsid w:val="00A24B2D"/>
    <w:rsid w:val="00A25A85"/>
    <w:rsid w:val="00A27DB1"/>
    <w:rsid w:val="00A30AF1"/>
    <w:rsid w:val="00A328EE"/>
    <w:rsid w:val="00A35382"/>
    <w:rsid w:val="00A359D5"/>
    <w:rsid w:val="00A40966"/>
    <w:rsid w:val="00A51560"/>
    <w:rsid w:val="00A51A62"/>
    <w:rsid w:val="00A622E7"/>
    <w:rsid w:val="00A87CDE"/>
    <w:rsid w:val="00A921E0"/>
    <w:rsid w:val="00A932AF"/>
    <w:rsid w:val="00AA2350"/>
    <w:rsid w:val="00AA2740"/>
    <w:rsid w:val="00AC090B"/>
    <w:rsid w:val="00AD6605"/>
    <w:rsid w:val="00AF5590"/>
    <w:rsid w:val="00B0738F"/>
    <w:rsid w:val="00B26601"/>
    <w:rsid w:val="00B30DB8"/>
    <w:rsid w:val="00B3356D"/>
    <w:rsid w:val="00B40C84"/>
    <w:rsid w:val="00B41951"/>
    <w:rsid w:val="00B50888"/>
    <w:rsid w:val="00B53229"/>
    <w:rsid w:val="00B62480"/>
    <w:rsid w:val="00B67596"/>
    <w:rsid w:val="00B71CE9"/>
    <w:rsid w:val="00B81B70"/>
    <w:rsid w:val="00B82B8B"/>
    <w:rsid w:val="00B912B5"/>
    <w:rsid w:val="00BB6558"/>
    <w:rsid w:val="00BD0724"/>
    <w:rsid w:val="00BE5521"/>
    <w:rsid w:val="00BF0AB2"/>
    <w:rsid w:val="00C52226"/>
    <w:rsid w:val="00C53263"/>
    <w:rsid w:val="00C5379C"/>
    <w:rsid w:val="00C61C3D"/>
    <w:rsid w:val="00C75F1D"/>
    <w:rsid w:val="00C8598A"/>
    <w:rsid w:val="00C94A8B"/>
    <w:rsid w:val="00CA0F3D"/>
    <w:rsid w:val="00CA450A"/>
    <w:rsid w:val="00CB3B5A"/>
    <w:rsid w:val="00CC151E"/>
    <w:rsid w:val="00CC1EDB"/>
    <w:rsid w:val="00CD4DFA"/>
    <w:rsid w:val="00CE2F1A"/>
    <w:rsid w:val="00D338E4"/>
    <w:rsid w:val="00D43FD6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B2762"/>
    <w:rsid w:val="00DB4A1E"/>
    <w:rsid w:val="00DC21C3"/>
    <w:rsid w:val="00DF7663"/>
    <w:rsid w:val="00E10BA6"/>
    <w:rsid w:val="00E23F1D"/>
    <w:rsid w:val="00E26732"/>
    <w:rsid w:val="00E36361"/>
    <w:rsid w:val="00E5140B"/>
    <w:rsid w:val="00E5482F"/>
    <w:rsid w:val="00E548A3"/>
    <w:rsid w:val="00E55AE9"/>
    <w:rsid w:val="00EA51FB"/>
    <w:rsid w:val="00EB044D"/>
    <w:rsid w:val="00EF6D8E"/>
    <w:rsid w:val="00F000A0"/>
    <w:rsid w:val="00F02482"/>
    <w:rsid w:val="00F0309B"/>
    <w:rsid w:val="00F40D53"/>
    <w:rsid w:val="00F4525C"/>
    <w:rsid w:val="00F94CC9"/>
    <w:rsid w:val="00F97203"/>
    <w:rsid w:val="00F97789"/>
    <w:rsid w:val="00FB2493"/>
    <w:rsid w:val="00FC43AF"/>
    <w:rsid w:val="00FC5E6B"/>
    <w:rsid w:val="00FC5E79"/>
    <w:rsid w:val="00FD4326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30D8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9BDCCF4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374142"/>
    <w:rsid w:val="005E1C1E"/>
    <w:rsid w:val="008170F8"/>
    <w:rsid w:val="00A950D3"/>
    <w:rsid w:val="00AB54ED"/>
    <w:rsid w:val="00B86BAD"/>
    <w:rsid w:val="00B96D8B"/>
    <w:rsid w:val="00D23BED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DCC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4E3C-A46F-40A4-9E34-AABDA8ACB716}"/>
</file>

<file path=customXml/itemProps2.xml><?xml version="1.0" encoding="utf-8"?>
<ds:datastoreItem xmlns:ds="http://schemas.openxmlformats.org/officeDocument/2006/customXml" ds:itemID="{64344375-B191-438C-9BA6-4B2BC5B27CA9}"/>
</file>

<file path=customXml/itemProps3.xml><?xml version="1.0" encoding="utf-8"?>
<ds:datastoreItem xmlns:ds="http://schemas.openxmlformats.org/officeDocument/2006/customXml" ds:itemID="{BF0D2852-F654-4742-926C-9375C1761BB3}"/>
</file>

<file path=customXml/itemProps4.xml><?xml version="1.0" encoding="utf-8"?>
<ds:datastoreItem xmlns:ds="http://schemas.openxmlformats.org/officeDocument/2006/customXml" ds:itemID="{9C3CC801-B651-4CE0-9D8D-18C31AEE9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– Interacting – Foundation to Level 9 span</vt:lpstr>
    </vt:vector>
  </TitlesOfParts>
  <Company>Victorian Curriculum and Assessment Authority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– Interacting – Foundation to Level 9 span</dc:title>
  <dc:creator>vcaa.f10.curriculum@edumail.vic.gov.au</dc:creator>
  <cp:keywords>English; Literacy; Learning Progression</cp:keywords>
  <cp:lastModifiedBy>Driver, Tim P</cp:lastModifiedBy>
  <cp:revision>2</cp:revision>
  <cp:lastPrinted>2018-04-17T02:16:00Z</cp:lastPrinted>
  <dcterms:created xsi:type="dcterms:W3CDTF">2018-05-09T00:13:00Z</dcterms:created>
  <dcterms:modified xsi:type="dcterms:W3CDTF">2018-05-09T00:13:00Z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