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E403A" w14:textId="77777777" w:rsidR="00267736" w:rsidRPr="00427F69" w:rsidRDefault="00267736" w:rsidP="00267736">
      <w:pPr>
        <w:rPr>
          <w:rFonts w:cstheme="minorHAnsi"/>
          <w:b/>
        </w:rPr>
      </w:pPr>
      <w:bookmarkStart w:id="0" w:name="_GoBack"/>
      <w:bookmarkEnd w:id="0"/>
      <w:r w:rsidRPr="00427F69">
        <w:rPr>
          <w:rFonts w:cstheme="minorHAnsi"/>
          <w:b/>
        </w:rPr>
        <w:t xml:space="preserve">This Learning Progression begins at </w:t>
      </w:r>
      <w:r w:rsidR="00427F69">
        <w:rPr>
          <w:rFonts w:cstheme="minorHAnsi"/>
          <w:b/>
        </w:rPr>
        <w:t>Foundation Level</w:t>
      </w:r>
      <w:r w:rsidR="00E10BA6" w:rsidRPr="00427F69">
        <w:rPr>
          <w:rFonts w:cstheme="minorHAnsi"/>
          <w:b/>
        </w:rPr>
        <w:t xml:space="preserve"> </w:t>
      </w:r>
      <w:r w:rsidRPr="00427F69">
        <w:rPr>
          <w:rFonts w:cstheme="minorHAnsi"/>
          <w:b/>
        </w:rPr>
        <w:t>of the Victorian Cur</w:t>
      </w:r>
      <w:r w:rsidR="003946E4" w:rsidRPr="00427F69">
        <w:rPr>
          <w:rFonts w:cstheme="minorHAnsi"/>
          <w:b/>
        </w:rPr>
        <w:t xml:space="preserve">riculum and concludes at Level </w:t>
      </w:r>
      <w:r w:rsidR="00F835B3" w:rsidRPr="00427F69">
        <w:rPr>
          <w:rFonts w:cstheme="minorHAnsi"/>
          <w:b/>
        </w:rPr>
        <w:t>4</w:t>
      </w:r>
      <w:r w:rsidRPr="00427F69">
        <w:rPr>
          <w:rFonts w:cstheme="minorHAnsi"/>
          <w:b/>
        </w:rPr>
        <w:t xml:space="preserve">. </w:t>
      </w:r>
      <w:r w:rsidR="00F835B3" w:rsidRPr="00427F69">
        <w:rPr>
          <w:rFonts w:cstheme="minorHAnsi"/>
          <w:b/>
        </w:rPr>
        <w:t>Seven</w:t>
      </w:r>
      <w:r w:rsidRPr="00427F69">
        <w:rPr>
          <w:rFonts w:cstheme="minorHAnsi"/>
          <w:b/>
        </w:rPr>
        <w:t xml:space="preserve"> progressions are provided in this span.</w:t>
      </w:r>
    </w:p>
    <w:p w14:paraId="3F12DFF7" w14:textId="77777777" w:rsidR="00F158E5" w:rsidRPr="00F158E5" w:rsidRDefault="00267736" w:rsidP="003C4419">
      <w:pPr>
        <w:pStyle w:val="Default"/>
        <w:rPr>
          <w:rFonts w:asciiTheme="minorHAnsi" w:hAnsiTheme="minorHAnsi" w:cstheme="minorHAnsi"/>
          <w:sz w:val="22"/>
          <w:szCs w:val="22"/>
        </w:rPr>
      </w:pPr>
      <w:r w:rsidRPr="00F158E5">
        <w:rPr>
          <w:rFonts w:asciiTheme="minorHAnsi" w:hAnsiTheme="minorHAnsi" w:cstheme="minorHAnsi"/>
          <w:i/>
          <w:sz w:val="22"/>
          <w:szCs w:val="22"/>
        </w:rPr>
        <w:t>Description:</w:t>
      </w:r>
      <w:r w:rsidRPr="00F158E5">
        <w:rPr>
          <w:rFonts w:asciiTheme="minorHAnsi" w:hAnsiTheme="minorHAnsi" w:cstheme="minorHAnsi"/>
          <w:sz w:val="22"/>
          <w:szCs w:val="22"/>
        </w:rPr>
        <w:t xml:space="preserve"> </w:t>
      </w:r>
      <w:r w:rsidR="00F158E5" w:rsidRPr="00F158E5">
        <w:rPr>
          <w:rFonts w:asciiTheme="minorHAnsi" w:hAnsiTheme="minorHAnsi" w:cstheme="minorHAnsi"/>
          <w:sz w:val="22"/>
          <w:szCs w:val="22"/>
        </w:rPr>
        <w:t>This Learning P</w:t>
      </w:r>
      <w:r w:rsidR="003C4419" w:rsidRPr="00F158E5">
        <w:rPr>
          <w:rFonts w:asciiTheme="minorHAnsi" w:hAnsiTheme="minorHAnsi" w:cstheme="minorHAnsi"/>
          <w:sz w:val="22"/>
          <w:szCs w:val="22"/>
        </w:rPr>
        <w:t xml:space="preserve">rogression describes how a student becomes increasingly able to use multiplicative strategies in computation. The coordination of units multiplicatively involves using the values of one unit applied to each of the units of the other, the multiplier. This process of coordinating units is equally relevant to problems of division. Although multiplication of whole numbers can be achieved by repeated addition, this isn’t necessarily the best way to think of multiplication. To determine how many shoes are in 100 pairs of shoes it is possible (but not practical) to add 100 lots of 2. Coordinating ‘100’ as one unit, as well as ‘2’ as a unit, leads to appreciating a multiplicative relationship between the quantities. Recognising that 100 lots of 2 is the same as 2 lots of 100 is an important multiplicative strategy. This same understanding relates to seeing the two forms of division as being equivalent. </w:t>
      </w:r>
    </w:p>
    <w:p w14:paraId="5226D9FA" w14:textId="77777777" w:rsidR="00F158E5" w:rsidRPr="00F158E5" w:rsidRDefault="00F158E5" w:rsidP="003C4419">
      <w:pPr>
        <w:pStyle w:val="Default"/>
        <w:rPr>
          <w:rFonts w:asciiTheme="minorHAnsi" w:hAnsiTheme="minorHAnsi" w:cstheme="minorHAnsi"/>
          <w:sz w:val="22"/>
          <w:szCs w:val="22"/>
        </w:rPr>
      </w:pPr>
    </w:p>
    <w:p w14:paraId="37851E18" w14:textId="77777777" w:rsidR="003C4419" w:rsidRPr="00F158E5" w:rsidRDefault="003C4419" w:rsidP="003C4419">
      <w:pPr>
        <w:pStyle w:val="Default"/>
        <w:rPr>
          <w:rFonts w:asciiTheme="minorHAnsi" w:hAnsiTheme="minorHAnsi" w:cstheme="minorHAnsi"/>
          <w:sz w:val="22"/>
          <w:szCs w:val="22"/>
        </w:rPr>
      </w:pPr>
      <w:r w:rsidRPr="00F158E5">
        <w:rPr>
          <w:rFonts w:asciiTheme="minorHAnsi" w:hAnsiTheme="minorHAnsi" w:cstheme="minorHAnsi"/>
          <w:sz w:val="22"/>
          <w:szCs w:val="22"/>
        </w:rPr>
        <w:t xml:space="preserve">In the </w:t>
      </w:r>
      <w:r w:rsidRPr="00F158E5">
        <w:rPr>
          <w:rFonts w:asciiTheme="minorHAnsi" w:hAnsiTheme="minorHAnsi" w:cstheme="minorHAnsi"/>
          <w:i/>
          <w:iCs/>
          <w:sz w:val="22"/>
          <w:szCs w:val="22"/>
        </w:rPr>
        <w:t xml:space="preserve">sharing </w:t>
      </w:r>
      <w:r w:rsidRPr="00F158E5">
        <w:rPr>
          <w:rFonts w:asciiTheme="minorHAnsi" w:hAnsiTheme="minorHAnsi" w:cstheme="minorHAnsi"/>
          <w:sz w:val="22"/>
          <w:szCs w:val="22"/>
        </w:rPr>
        <w:t xml:space="preserve">model of division, the divisor indicates a whole number of equal groups and the quotient, the result of division, is the size of each part. In 12 ÷ 3 = 4, twelve is </w:t>
      </w:r>
      <w:r w:rsidRPr="00F158E5">
        <w:rPr>
          <w:rFonts w:asciiTheme="minorHAnsi" w:hAnsiTheme="minorHAnsi" w:cstheme="minorHAnsi"/>
          <w:i/>
          <w:iCs/>
          <w:sz w:val="22"/>
          <w:szCs w:val="22"/>
        </w:rPr>
        <w:t xml:space="preserve">shared </w:t>
      </w:r>
      <w:r w:rsidRPr="00F158E5">
        <w:rPr>
          <w:rFonts w:asciiTheme="minorHAnsi" w:hAnsiTheme="minorHAnsi" w:cstheme="minorHAnsi"/>
          <w:sz w:val="22"/>
          <w:szCs w:val="22"/>
        </w:rPr>
        <w:t xml:space="preserve">into 3 equal groups and there are 4 in each group. An over-reliance on the sharing model of division can contribute to misconceptions about division with decimals.This model is inadequate when the division has a divisor that is less than one. In the </w:t>
      </w:r>
      <w:r w:rsidRPr="00F158E5">
        <w:rPr>
          <w:rFonts w:asciiTheme="minorHAnsi" w:hAnsiTheme="minorHAnsi" w:cstheme="minorHAnsi"/>
          <w:i/>
          <w:iCs/>
          <w:sz w:val="22"/>
          <w:szCs w:val="22"/>
        </w:rPr>
        <w:t xml:space="preserve">measurement </w:t>
      </w:r>
      <w:r w:rsidRPr="00F158E5">
        <w:rPr>
          <w:rFonts w:asciiTheme="minorHAnsi" w:hAnsiTheme="minorHAnsi" w:cstheme="minorHAnsi"/>
          <w:sz w:val="22"/>
          <w:szCs w:val="22"/>
        </w:rPr>
        <w:t xml:space="preserve">division model, the divisor indicates the size of the subset (number in each group) and the quotient is the number of equal-sized subsets. For 12 ÷ 3 = 4, 12 is divided into groups of 3, and 4 is the number of groups of 3. The measurement division model is sometimes described as quotitive division. </w:t>
      </w:r>
    </w:p>
    <w:p w14:paraId="08E04322" w14:textId="77777777" w:rsidR="003C4419" w:rsidRPr="00505889" w:rsidRDefault="003C4419" w:rsidP="003C4419">
      <w:pPr>
        <w:pStyle w:val="Default"/>
        <w:rPr>
          <w:rFonts w:asciiTheme="minorHAnsi" w:hAnsiTheme="minorHAnsi" w:cstheme="minorHAnsi"/>
        </w:rPr>
      </w:pPr>
    </w:p>
    <w:p w14:paraId="1E7C1C9C" w14:textId="77777777" w:rsidR="003C4419" w:rsidRPr="00505889" w:rsidRDefault="00427F69" w:rsidP="003C4419">
      <w:pPr>
        <w:pStyle w:val="Default"/>
        <w:rPr>
          <w:rFonts w:asciiTheme="minorHAnsi" w:hAnsiTheme="minorHAnsi" w:cstheme="minorHAnsi"/>
        </w:rPr>
      </w:pPr>
      <w:r w:rsidRPr="00505889">
        <w:rPr>
          <w:rFonts w:asciiTheme="minorHAnsi" w:hAnsiTheme="minorHAnsi" w:cstheme="minorHAnsi"/>
          <w:i/>
          <w:sz w:val="22"/>
          <w:szCs w:val="22"/>
        </w:rPr>
        <w:t>Related Numeracy Learning Progressions</w:t>
      </w:r>
      <w:r w:rsidRPr="00505889">
        <w:rPr>
          <w:rFonts w:asciiTheme="minorHAnsi" w:hAnsiTheme="minorHAnsi" w:cstheme="minorHAnsi"/>
          <w:sz w:val="22"/>
          <w:szCs w:val="22"/>
        </w:rPr>
        <w:t xml:space="preserve">: </w:t>
      </w:r>
      <w:r w:rsidR="003C4419" w:rsidRPr="00505889">
        <w:rPr>
          <w:rFonts w:asciiTheme="minorHAnsi" w:hAnsiTheme="minorHAnsi" w:cstheme="minorHAnsi"/>
          <w:sz w:val="22"/>
        </w:rPr>
        <w:t xml:space="preserve">Multiplicative strategies are used in the sub-elements </w:t>
      </w:r>
      <w:r w:rsidR="003C4419" w:rsidRPr="00505889">
        <w:rPr>
          <w:rFonts w:asciiTheme="minorHAnsi" w:hAnsiTheme="minorHAnsi" w:cstheme="minorHAnsi"/>
          <w:i/>
          <w:iCs/>
          <w:sz w:val="22"/>
        </w:rPr>
        <w:t xml:space="preserve">Operating with decimals, Operating with percentages </w:t>
      </w:r>
      <w:r w:rsidR="003C4419" w:rsidRPr="00505889">
        <w:rPr>
          <w:rFonts w:asciiTheme="minorHAnsi" w:hAnsiTheme="minorHAnsi" w:cstheme="minorHAnsi"/>
          <w:sz w:val="22"/>
        </w:rPr>
        <w:t xml:space="preserve">and </w:t>
      </w:r>
      <w:r w:rsidR="003C4419" w:rsidRPr="00505889">
        <w:rPr>
          <w:rFonts w:asciiTheme="minorHAnsi" w:hAnsiTheme="minorHAnsi" w:cstheme="minorHAnsi"/>
          <w:i/>
          <w:iCs/>
          <w:sz w:val="22"/>
        </w:rPr>
        <w:t>Interpreting fractions</w:t>
      </w:r>
      <w:r w:rsidR="003C4419" w:rsidRPr="00505889">
        <w:rPr>
          <w:rFonts w:asciiTheme="minorHAnsi" w:hAnsiTheme="minorHAnsi" w:cstheme="minorHAnsi"/>
          <w:sz w:val="22"/>
        </w:rPr>
        <w:t xml:space="preserve">. </w:t>
      </w:r>
    </w:p>
    <w:p w14:paraId="1A625B6D" w14:textId="77777777" w:rsidR="001D184E" w:rsidRDefault="001D184E" w:rsidP="003946E4">
      <w:pPr>
        <w:pStyle w:val="Default"/>
        <w:rPr>
          <w:sz w:val="22"/>
          <w:szCs w:val="22"/>
        </w:rPr>
      </w:pPr>
    </w:p>
    <w:p w14:paraId="4A5A1467" w14:textId="77777777" w:rsidR="000A19FB" w:rsidRPr="00F93FFF" w:rsidRDefault="000A19FB" w:rsidP="000A19FB">
      <w:pPr>
        <w:pStyle w:val="VCAAbody"/>
        <w:rPr>
          <w:rFonts w:ascii="Arial Narrow" w:hAnsi="Arial Narrow"/>
          <w:i/>
        </w:rPr>
      </w:pPr>
      <w:r w:rsidRPr="00F93FFF">
        <w:rPr>
          <w:rFonts w:ascii="Arial Narrow" w:hAnsi="Arial Narrow"/>
          <w:i/>
        </w:rPr>
        <w:t>Details of progression provide nuanced and detailed descriptions of student learning – what students can say, do, make or write. Examples of student learning in each step are not hierarchical, nor are they to be used as a checklist.</w:t>
      </w:r>
    </w:p>
    <w:tbl>
      <w:tblPr>
        <w:tblStyle w:val="TableGrid"/>
        <w:tblW w:w="4985" w:type="pct"/>
        <w:tblLook w:val="04A0" w:firstRow="1" w:lastRow="0" w:firstColumn="1" w:lastColumn="0" w:noHBand="0" w:noVBand="1"/>
      </w:tblPr>
      <w:tblGrid>
        <w:gridCol w:w="2430"/>
        <w:gridCol w:w="1418"/>
        <w:gridCol w:w="1017"/>
        <w:gridCol w:w="2433"/>
        <w:gridCol w:w="2433"/>
        <w:gridCol w:w="2994"/>
        <w:gridCol w:w="1927"/>
        <w:gridCol w:w="2762"/>
        <w:gridCol w:w="3673"/>
      </w:tblGrid>
      <w:tr w:rsidR="00267736" w:rsidRPr="005E7294" w14:paraId="22A86235" w14:textId="77777777" w:rsidTr="00505889">
        <w:trPr>
          <w:trHeight w:val="139"/>
        </w:trPr>
        <w:tc>
          <w:tcPr>
            <w:tcW w:w="912" w:type="pct"/>
            <w:gridSpan w:val="2"/>
            <w:tcBorders>
              <w:top w:val="single" w:sz="4" w:space="0" w:color="auto"/>
              <w:left w:val="single" w:sz="4" w:space="0" w:color="auto"/>
              <w:bottom w:val="single" w:sz="4" w:space="0" w:color="auto"/>
              <w:right w:val="nil"/>
            </w:tcBorders>
            <w:shd w:val="clear" w:color="auto" w:fill="404040" w:themeFill="text1" w:themeFillTint="BF"/>
            <w:vAlign w:val="center"/>
          </w:tcPr>
          <w:p w14:paraId="7CCD88E8" w14:textId="77777777" w:rsidR="00267736" w:rsidRPr="00C1032D" w:rsidRDefault="003C4419" w:rsidP="00427F69">
            <w:pPr>
              <w:pStyle w:val="VCAAtablecondensedheading"/>
              <w:rPr>
                <w:b/>
                <w:color w:val="FFFFFF" w:themeColor="background1"/>
              </w:rPr>
            </w:pPr>
            <w:r>
              <w:rPr>
                <w:b/>
                <w:color w:val="FFFFFF" w:themeColor="background1"/>
              </w:rPr>
              <w:t xml:space="preserve">Victorian Curriculum </w:t>
            </w:r>
            <w:r w:rsidR="00427F69">
              <w:rPr>
                <w:b/>
                <w:color w:val="FFFFFF" w:themeColor="background1"/>
              </w:rPr>
              <w:t xml:space="preserve">Foundation Level </w:t>
            </w:r>
          </w:p>
        </w:tc>
        <w:tc>
          <w:tcPr>
            <w:tcW w:w="2562" w:type="pct"/>
            <w:gridSpan w:val="5"/>
            <w:tcBorders>
              <w:top w:val="single" w:sz="4" w:space="0" w:color="auto"/>
              <w:left w:val="nil"/>
              <w:bottom w:val="single" w:sz="4" w:space="0" w:color="auto"/>
              <w:right w:val="nil"/>
            </w:tcBorders>
            <w:shd w:val="clear" w:color="auto" w:fill="404040" w:themeFill="text1" w:themeFillTint="BF"/>
            <w:vAlign w:val="center"/>
          </w:tcPr>
          <w:p w14:paraId="740A3625" w14:textId="77777777" w:rsidR="00267736" w:rsidRPr="00C1032D" w:rsidRDefault="00267736" w:rsidP="001B535F">
            <w:pPr>
              <w:pStyle w:val="VCAAtablecondensedheading"/>
              <w:rPr>
                <w:b/>
                <w:color w:val="FFFFFF" w:themeColor="background1"/>
              </w:rPr>
            </w:pPr>
          </w:p>
        </w:tc>
        <w:tc>
          <w:tcPr>
            <w:tcW w:w="1526" w:type="pct"/>
            <w:gridSpan w:val="2"/>
            <w:tcBorders>
              <w:top w:val="single" w:sz="4" w:space="0" w:color="auto"/>
              <w:left w:val="nil"/>
              <w:bottom w:val="single" w:sz="4" w:space="0" w:color="auto"/>
            </w:tcBorders>
            <w:shd w:val="clear" w:color="auto" w:fill="404040" w:themeFill="text1" w:themeFillTint="BF"/>
            <w:vAlign w:val="center"/>
          </w:tcPr>
          <w:p w14:paraId="46CC3209" w14:textId="77777777" w:rsidR="00267736" w:rsidRPr="00C1032D" w:rsidRDefault="003C4419" w:rsidP="001B535F">
            <w:pPr>
              <w:pStyle w:val="VCAAtablecondensedheading"/>
              <w:jc w:val="right"/>
              <w:rPr>
                <w:b/>
                <w:color w:val="FFFFFF" w:themeColor="background1"/>
              </w:rPr>
            </w:pPr>
            <w:r>
              <w:rPr>
                <w:b/>
                <w:color w:val="FFFFFF" w:themeColor="background1"/>
              </w:rPr>
              <w:t>Victorian Curriculum Level 4</w:t>
            </w:r>
          </w:p>
        </w:tc>
      </w:tr>
      <w:tr w:rsidR="00427F69" w14:paraId="5FBF1A5A" w14:textId="77777777" w:rsidTr="000217DA">
        <w:trPr>
          <w:trHeight w:val="3529"/>
        </w:trPr>
        <w:tc>
          <w:tcPr>
            <w:tcW w:w="576" w:type="pct"/>
            <w:vMerge w:val="restart"/>
          </w:tcPr>
          <w:p w14:paraId="30CC440D" w14:textId="77777777" w:rsidR="00427F69" w:rsidRDefault="00427F69" w:rsidP="003C4419">
            <w:pPr>
              <w:pStyle w:val="Default"/>
              <w:rPr>
                <w:rFonts w:ascii="Arial Narrow" w:hAnsi="Arial Narrow"/>
                <w:b/>
                <w:bCs/>
                <w:sz w:val="22"/>
                <w:szCs w:val="22"/>
              </w:rPr>
            </w:pPr>
            <w:r w:rsidRPr="0006422E">
              <w:rPr>
                <w:rFonts w:ascii="Arial Narrow" w:hAnsi="Arial Narrow"/>
                <w:b/>
                <w:bCs/>
                <w:sz w:val="22"/>
                <w:szCs w:val="22"/>
              </w:rPr>
              <w:t xml:space="preserve">Forming equal groups </w:t>
            </w:r>
          </w:p>
          <w:p w14:paraId="275B746D" w14:textId="77777777" w:rsidR="00427F69" w:rsidRPr="0006422E" w:rsidRDefault="00427F69" w:rsidP="003C4419">
            <w:pPr>
              <w:pStyle w:val="Default"/>
              <w:rPr>
                <w:rFonts w:ascii="Arial Narrow" w:hAnsi="Arial Narrow"/>
                <w:sz w:val="22"/>
                <w:szCs w:val="22"/>
              </w:rPr>
            </w:pPr>
          </w:p>
          <w:p w14:paraId="7A8E3AEF" w14:textId="77777777" w:rsidR="00427F69" w:rsidRDefault="00427F69" w:rsidP="003C4419">
            <w:pPr>
              <w:pStyle w:val="Default"/>
              <w:rPr>
                <w:rFonts w:ascii="Arial Narrow" w:hAnsi="Arial Narrow"/>
                <w:sz w:val="22"/>
                <w:szCs w:val="22"/>
              </w:rPr>
            </w:pPr>
            <w:r>
              <w:rPr>
                <w:rFonts w:ascii="Arial Narrow" w:hAnsi="Arial Narrow"/>
                <w:sz w:val="22"/>
                <w:szCs w:val="22"/>
              </w:rPr>
              <w:t>The student:</w:t>
            </w:r>
          </w:p>
          <w:p w14:paraId="3D77CBA6" w14:textId="77777777" w:rsidR="00427F69" w:rsidRDefault="00427F69" w:rsidP="003C4419">
            <w:pPr>
              <w:pStyle w:val="Default"/>
              <w:numPr>
                <w:ilvl w:val="0"/>
                <w:numId w:val="14"/>
              </w:numPr>
              <w:rPr>
                <w:rFonts w:ascii="Arial Narrow" w:hAnsi="Arial Narrow"/>
                <w:sz w:val="22"/>
                <w:szCs w:val="22"/>
              </w:rPr>
            </w:pPr>
            <w:r w:rsidRPr="0006422E">
              <w:rPr>
                <w:rFonts w:ascii="Arial Narrow" w:hAnsi="Arial Narrow"/>
                <w:sz w:val="22"/>
                <w:szCs w:val="22"/>
              </w:rPr>
              <w:t>shares collections equally by dealing (that is, distributing items one t</w:t>
            </w:r>
            <w:r>
              <w:rPr>
                <w:rFonts w:ascii="Arial Narrow" w:hAnsi="Arial Narrow"/>
                <w:sz w:val="22"/>
                <w:szCs w:val="22"/>
              </w:rPr>
              <w:t xml:space="preserve">o one until they are exhausted) </w:t>
            </w:r>
          </w:p>
          <w:p w14:paraId="37CC7DA4" w14:textId="77777777" w:rsidR="00427F69" w:rsidRPr="0006422E" w:rsidRDefault="00427F69" w:rsidP="003C4419">
            <w:pPr>
              <w:pStyle w:val="Default"/>
              <w:numPr>
                <w:ilvl w:val="0"/>
                <w:numId w:val="14"/>
              </w:numPr>
              <w:rPr>
                <w:rFonts w:ascii="Arial Narrow" w:hAnsi="Arial Narrow"/>
                <w:sz w:val="22"/>
                <w:szCs w:val="22"/>
              </w:rPr>
            </w:pPr>
            <w:r>
              <w:rPr>
                <w:rFonts w:ascii="Arial Narrow" w:hAnsi="Arial Narrow"/>
                <w:sz w:val="22"/>
                <w:szCs w:val="22"/>
              </w:rPr>
              <w:t>makes</w:t>
            </w:r>
            <w:r w:rsidRPr="0006422E">
              <w:rPr>
                <w:rFonts w:ascii="Arial Narrow" w:hAnsi="Arial Narrow"/>
                <w:sz w:val="22"/>
                <w:szCs w:val="22"/>
              </w:rPr>
              <w:t xml:space="preserve"> equal groups and c</w:t>
            </w:r>
            <w:r>
              <w:rPr>
                <w:rFonts w:ascii="Arial Narrow" w:hAnsi="Arial Narrow"/>
                <w:sz w:val="22"/>
                <w:szCs w:val="22"/>
              </w:rPr>
              <w:t xml:space="preserve">ounts by ones to find the total. </w:t>
            </w:r>
          </w:p>
          <w:p w14:paraId="3AFCCA5B" w14:textId="77777777" w:rsidR="00427F69" w:rsidRDefault="00427F69" w:rsidP="003C4419">
            <w:pPr>
              <w:jc w:val="center"/>
              <w:rPr>
                <w:rFonts w:ascii="Arial Narrow" w:hAnsi="Arial Narrow"/>
              </w:rPr>
            </w:pPr>
          </w:p>
        </w:tc>
        <w:tc>
          <w:tcPr>
            <w:tcW w:w="577" w:type="pct"/>
            <w:gridSpan w:val="2"/>
            <w:vMerge w:val="restart"/>
          </w:tcPr>
          <w:p w14:paraId="0EEBCD5E" w14:textId="77777777" w:rsidR="00427F69" w:rsidRDefault="00427F69" w:rsidP="003C4419">
            <w:pPr>
              <w:pStyle w:val="Default"/>
              <w:rPr>
                <w:rFonts w:ascii="Arial Narrow" w:hAnsi="Arial Narrow"/>
                <w:b/>
                <w:bCs/>
                <w:sz w:val="22"/>
                <w:szCs w:val="22"/>
              </w:rPr>
            </w:pPr>
            <w:r w:rsidRPr="0006422E">
              <w:rPr>
                <w:rFonts w:ascii="Arial Narrow" w:hAnsi="Arial Narrow"/>
                <w:b/>
                <w:bCs/>
                <w:sz w:val="22"/>
                <w:szCs w:val="22"/>
              </w:rPr>
              <w:t xml:space="preserve">Perceptual multiples </w:t>
            </w:r>
          </w:p>
          <w:p w14:paraId="07324D7E" w14:textId="77777777" w:rsidR="00427F69" w:rsidRPr="0006422E" w:rsidRDefault="00427F69" w:rsidP="003C4419">
            <w:pPr>
              <w:pStyle w:val="Default"/>
              <w:rPr>
                <w:rFonts w:ascii="Arial Narrow" w:hAnsi="Arial Narrow"/>
                <w:sz w:val="22"/>
                <w:szCs w:val="22"/>
              </w:rPr>
            </w:pPr>
          </w:p>
          <w:p w14:paraId="2FD3930C" w14:textId="77777777" w:rsidR="00427F69" w:rsidRDefault="00427F69" w:rsidP="003C4419">
            <w:pPr>
              <w:pStyle w:val="Default"/>
              <w:rPr>
                <w:rFonts w:ascii="Arial Narrow" w:hAnsi="Arial Narrow"/>
                <w:sz w:val="22"/>
                <w:szCs w:val="22"/>
              </w:rPr>
            </w:pPr>
            <w:r>
              <w:rPr>
                <w:rFonts w:ascii="Arial Narrow" w:hAnsi="Arial Narrow"/>
                <w:sz w:val="22"/>
                <w:szCs w:val="22"/>
              </w:rPr>
              <w:t>The student:</w:t>
            </w:r>
          </w:p>
          <w:p w14:paraId="62BCF6A5" w14:textId="77777777" w:rsidR="00427F69" w:rsidRPr="0006422E" w:rsidRDefault="00427F69" w:rsidP="003C4419">
            <w:pPr>
              <w:pStyle w:val="Default"/>
              <w:numPr>
                <w:ilvl w:val="0"/>
                <w:numId w:val="15"/>
              </w:numPr>
              <w:rPr>
                <w:rFonts w:ascii="Arial Narrow" w:hAnsi="Arial Narrow"/>
                <w:sz w:val="22"/>
                <w:szCs w:val="22"/>
              </w:rPr>
            </w:pPr>
            <w:r w:rsidRPr="0006422E">
              <w:rPr>
                <w:rFonts w:ascii="Arial Narrow" w:hAnsi="Arial Narrow"/>
                <w:sz w:val="22"/>
                <w:szCs w:val="22"/>
              </w:rPr>
              <w:t>uses groups or multiples in perceptual counting and sharing (rhythmic or skip c</w:t>
            </w:r>
            <w:r>
              <w:rPr>
                <w:rFonts w:ascii="Arial Narrow" w:hAnsi="Arial Narrow"/>
                <w:sz w:val="22"/>
                <w:szCs w:val="22"/>
              </w:rPr>
              <w:t>ounting with all items visible).</w:t>
            </w:r>
          </w:p>
          <w:p w14:paraId="064EF621" w14:textId="77777777" w:rsidR="00427F69" w:rsidRDefault="00427F69">
            <w:pPr>
              <w:rPr>
                <w:rFonts w:ascii="Arial Narrow" w:hAnsi="Arial Narrow"/>
              </w:rPr>
            </w:pPr>
          </w:p>
        </w:tc>
        <w:tc>
          <w:tcPr>
            <w:tcW w:w="577" w:type="pct"/>
            <w:vMerge w:val="restart"/>
          </w:tcPr>
          <w:p w14:paraId="1E450FD4" w14:textId="77777777" w:rsidR="00427F69" w:rsidRDefault="00427F69" w:rsidP="003C4419">
            <w:pPr>
              <w:pStyle w:val="Default"/>
              <w:rPr>
                <w:rFonts w:ascii="Arial Narrow" w:hAnsi="Arial Narrow"/>
                <w:b/>
                <w:bCs/>
                <w:sz w:val="22"/>
                <w:szCs w:val="22"/>
              </w:rPr>
            </w:pPr>
            <w:r w:rsidRPr="0006422E">
              <w:rPr>
                <w:rFonts w:ascii="Arial Narrow" w:hAnsi="Arial Narrow"/>
                <w:b/>
                <w:bCs/>
                <w:sz w:val="22"/>
                <w:szCs w:val="22"/>
              </w:rPr>
              <w:t xml:space="preserve">Figurative (imagined units) </w:t>
            </w:r>
          </w:p>
          <w:p w14:paraId="5A7D0890" w14:textId="77777777" w:rsidR="00427F69" w:rsidRPr="0006422E" w:rsidRDefault="00427F69" w:rsidP="003C4419">
            <w:pPr>
              <w:pStyle w:val="Default"/>
              <w:rPr>
                <w:rFonts w:ascii="Arial Narrow" w:hAnsi="Arial Narrow"/>
                <w:sz w:val="22"/>
                <w:szCs w:val="22"/>
              </w:rPr>
            </w:pPr>
          </w:p>
          <w:p w14:paraId="09BE6045" w14:textId="77777777" w:rsidR="00427F69" w:rsidRDefault="00427F69" w:rsidP="003C4419">
            <w:pPr>
              <w:pStyle w:val="Default"/>
              <w:rPr>
                <w:rFonts w:ascii="Arial Narrow" w:hAnsi="Arial Narrow"/>
                <w:sz w:val="22"/>
                <w:szCs w:val="22"/>
              </w:rPr>
            </w:pPr>
            <w:r>
              <w:rPr>
                <w:rFonts w:ascii="Arial Narrow" w:hAnsi="Arial Narrow"/>
                <w:sz w:val="22"/>
                <w:szCs w:val="22"/>
              </w:rPr>
              <w:t xml:space="preserve">The student: </w:t>
            </w:r>
          </w:p>
          <w:p w14:paraId="677FF661" w14:textId="77777777" w:rsidR="00427F69" w:rsidRPr="0006422E" w:rsidRDefault="00427F69" w:rsidP="003C4419">
            <w:pPr>
              <w:pStyle w:val="Default"/>
              <w:numPr>
                <w:ilvl w:val="0"/>
                <w:numId w:val="15"/>
              </w:numPr>
              <w:rPr>
                <w:rFonts w:ascii="Arial Narrow" w:hAnsi="Arial Narrow"/>
                <w:sz w:val="22"/>
                <w:szCs w:val="22"/>
              </w:rPr>
            </w:pPr>
            <w:r w:rsidRPr="0006422E">
              <w:rPr>
                <w:rFonts w:ascii="Arial Narrow" w:hAnsi="Arial Narrow"/>
                <w:sz w:val="22"/>
                <w:szCs w:val="22"/>
              </w:rPr>
              <w:t xml:space="preserve">relies on perceptual markers to represent each group </w:t>
            </w:r>
          </w:p>
          <w:p w14:paraId="331BD3BC" w14:textId="77777777" w:rsidR="00427F69" w:rsidRPr="0006422E" w:rsidRDefault="00427F69" w:rsidP="003C4419">
            <w:pPr>
              <w:pStyle w:val="Default"/>
              <w:numPr>
                <w:ilvl w:val="0"/>
                <w:numId w:val="15"/>
              </w:numPr>
              <w:rPr>
                <w:rFonts w:ascii="Arial Narrow" w:hAnsi="Arial Narrow"/>
                <w:sz w:val="22"/>
                <w:szCs w:val="22"/>
              </w:rPr>
            </w:pPr>
            <w:r>
              <w:rPr>
                <w:rFonts w:ascii="Arial Narrow" w:hAnsi="Arial Narrow"/>
                <w:sz w:val="22"/>
                <w:szCs w:val="22"/>
              </w:rPr>
              <w:t>uses</w:t>
            </w:r>
            <w:r w:rsidRPr="0006422E">
              <w:rPr>
                <w:rFonts w:ascii="Arial Narrow" w:hAnsi="Arial Narrow"/>
                <w:sz w:val="22"/>
                <w:szCs w:val="22"/>
              </w:rPr>
              <w:t xml:space="preserve"> equal grouping and counting without individual </w:t>
            </w:r>
            <w:r>
              <w:rPr>
                <w:rFonts w:ascii="Arial Narrow" w:hAnsi="Arial Narrow"/>
                <w:sz w:val="22"/>
                <w:szCs w:val="22"/>
              </w:rPr>
              <w:t>items visible but need</w:t>
            </w:r>
            <w:r w:rsidRPr="0006422E">
              <w:rPr>
                <w:rFonts w:ascii="Arial Narrow" w:hAnsi="Arial Narrow"/>
                <w:sz w:val="22"/>
                <w:szCs w:val="22"/>
              </w:rPr>
              <w:t xml:space="preserve"> to represent the groups before determining the total </w:t>
            </w:r>
          </w:p>
          <w:p w14:paraId="4D96ADBC" w14:textId="77777777" w:rsidR="00427F69" w:rsidRPr="0006422E" w:rsidRDefault="00427F69" w:rsidP="003C4419">
            <w:pPr>
              <w:pStyle w:val="Default"/>
              <w:numPr>
                <w:ilvl w:val="0"/>
                <w:numId w:val="15"/>
              </w:numPr>
              <w:rPr>
                <w:rFonts w:ascii="Arial Narrow" w:hAnsi="Arial Narrow"/>
                <w:sz w:val="22"/>
                <w:szCs w:val="22"/>
              </w:rPr>
            </w:pPr>
            <w:r w:rsidRPr="0006422E">
              <w:rPr>
                <w:rFonts w:ascii="Arial Narrow" w:hAnsi="Arial Narrow"/>
                <w:sz w:val="22"/>
                <w:szCs w:val="22"/>
              </w:rPr>
              <w:t>counts by twos, fives and tens, matching the count to groups of the corresponding size</w:t>
            </w:r>
            <w:r>
              <w:rPr>
                <w:rFonts w:ascii="Arial Narrow" w:hAnsi="Arial Narrow"/>
                <w:sz w:val="22"/>
                <w:szCs w:val="22"/>
              </w:rPr>
              <w:t xml:space="preserve">. </w:t>
            </w:r>
            <w:r w:rsidRPr="0006422E">
              <w:rPr>
                <w:rFonts w:ascii="Arial Narrow" w:hAnsi="Arial Narrow"/>
                <w:sz w:val="22"/>
                <w:szCs w:val="22"/>
              </w:rPr>
              <w:t xml:space="preserve"> </w:t>
            </w:r>
          </w:p>
          <w:p w14:paraId="2893E85B" w14:textId="77777777" w:rsidR="00427F69" w:rsidRDefault="00427F69">
            <w:pPr>
              <w:rPr>
                <w:rFonts w:ascii="Arial Narrow" w:hAnsi="Arial Narrow"/>
              </w:rPr>
            </w:pPr>
          </w:p>
        </w:tc>
        <w:tc>
          <w:tcPr>
            <w:tcW w:w="577" w:type="pct"/>
            <w:vMerge w:val="restart"/>
          </w:tcPr>
          <w:p w14:paraId="4D45A37B" w14:textId="77777777" w:rsidR="00427F69" w:rsidRPr="003C4419" w:rsidRDefault="00427F69" w:rsidP="003C4419">
            <w:pPr>
              <w:rPr>
                <w:rFonts w:ascii="Arial Narrow" w:hAnsi="Arial Narrow"/>
                <w:b/>
                <w:bCs/>
                <w:lang w:val="en-AU"/>
              </w:rPr>
            </w:pPr>
            <w:r w:rsidRPr="003C4419">
              <w:rPr>
                <w:rFonts w:ascii="Arial Narrow" w:hAnsi="Arial Narrow"/>
                <w:b/>
                <w:bCs/>
                <w:lang w:val="en-AU"/>
              </w:rPr>
              <w:t xml:space="preserve">Repeated abstract composite units </w:t>
            </w:r>
          </w:p>
          <w:p w14:paraId="039D76E9" w14:textId="77777777" w:rsidR="00427F69" w:rsidRPr="003C4419" w:rsidRDefault="00427F69" w:rsidP="003C4419">
            <w:pPr>
              <w:rPr>
                <w:rFonts w:ascii="Arial Narrow" w:hAnsi="Arial Narrow"/>
                <w:lang w:val="en-AU"/>
              </w:rPr>
            </w:pPr>
          </w:p>
          <w:p w14:paraId="4AE77839" w14:textId="77777777" w:rsidR="00427F69" w:rsidRDefault="00427F69" w:rsidP="003C4419">
            <w:pPr>
              <w:rPr>
                <w:rFonts w:ascii="Arial Narrow" w:hAnsi="Arial Narrow"/>
                <w:lang w:val="en-AU"/>
              </w:rPr>
            </w:pPr>
            <w:r w:rsidRPr="003C4419">
              <w:rPr>
                <w:rFonts w:ascii="Arial Narrow" w:hAnsi="Arial Narrow"/>
                <w:lang w:val="en-AU"/>
              </w:rPr>
              <w:t>The student</w:t>
            </w:r>
            <w:r>
              <w:rPr>
                <w:rFonts w:ascii="Arial Narrow" w:hAnsi="Arial Narrow"/>
                <w:lang w:val="en-AU"/>
              </w:rPr>
              <w:t>:</w:t>
            </w:r>
          </w:p>
          <w:p w14:paraId="2CFC09A9" w14:textId="77777777" w:rsidR="00427F69" w:rsidRPr="003C4419" w:rsidRDefault="00427F69" w:rsidP="003C4419">
            <w:pPr>
              <w:pStyle w:val="ListParagraph"/>
              <w:numPr>
                <w:ilvl w:val="0"/>
                <w:numId w:val="16"/>
              </w:numPr>
              <w:rPr>
                <w:rFonts w:ascii="Arial Narrow" w:hAnsi="Arial Narrow"/>
                <w:lang w:val="en-AU"/>
              </w:rPr>
            </w:pPr>
            <w:r w:rsidRPr="003C4419">
              <w:rPr>
                <w:rFonts w:ascii="Arial Narrow" w:hAnsi="Arial Narrow"/>
                <w:lang w:val="en-AU"/>
              </w:rPr>
              <w:t xml:space="preserve">uses composite units in repeated addition and subtraction using the unit a specified number of times </w:t>
            </w:r>
          </w:p>
          <w:p w14:paraId="5C0B61E6" w14:textId="77777777" w:rsidR="00427F69" w:rsidRPr="003C4419" w:rsidRDefault="00427F69" w:rsidP="003C4419">
            <w:pPr>
              <w:pStyle w:val="ListParagraph"/>
              <w:numPr>
                <w:ilvl w:val="0"/>
                <w:numId w:val="16"/>
              </w:numPr>
              <w:rPr>
                <w:rFonts w:ascii="Arial Narrow" w:hAnsi="Arial Narrow"/>
                <w:lang w:val="en-AU"/>
              </w:rPr>
            </w:pPr>
            <w:r w:rsidRPr="003C4419">
              <w:rPr>
                <w:rFonts w:ascii="Arial Narrow" w:hAnsi="Arial Narrow"/>
                <w:lang w:val="en-AU"/>
              </w:rPr>
              <w:t>use</w:t>
            </w:r>
            <w:r>
              <w:rPr>
                <w:rFonts w:ascii="Arial Narrow" w:hAnsi="Arial Narrow"/>
                <w:lang w:val="en-AU"/>
              </w:rPr>
              <w:t>s</w:t>
            </w:r>
            <w:r w:rsidRPr="003C4419">
              <w:rPr>
                <w:rFonts w:ascii="Arial Narrow" w:hAnsi="Arial Narrow"/>
                <w:lang w:val="en-AU"/>
              </w:rPr>
              <w:t xml:space="preserve"> skip counting and may use fingers to keep track of the number of groups as the counting occurs</w:t>
            </w:r>
          </w:p>
          <w:p w14:paraId="3BB795AA" w14:textId="77777777" w:rsidR="00427F69" w:rsidRPr="003C4419" w:rsidRDefault="00427F69" w:rsidP="003C4419">
            <w:pPr>
              <w:pStyle w:val="ListParagraph"/>
              <w:numPr>
                <w:ilvl w:val="0"/>
                <w:numId w:val="16"/>
              </w:numPr>
              <w:rPr>
                <w:rFonts w:ascii="Arial Narrow" w:hAnsi="Arial Narrow"/>
                <w:lang w:val="en-AU"/>
              </w:rPr>
            </w:pPr>
            <w:r w:rsidRPr="003C4419">
              <w:rPr>
                <w:rFonts w:ascii="Arial Narrow" w:hAnsi="Arial Narrow"/>
                <w:lang w:val="en-AU"/>
              </w:rPr>
              <w:t>determine</w:t>
            </w:r>
            <w:r>
              <w:rPr>
                <w:rFonts w:ascii="Arial Narrow" w:hAnsi="Arial Narrow"/>
                <w:lang w:val="en-AU"/>
              </w:rPr>
              <w:t>s</w:t>
            </w:r>
            <w:r w:rsidRPr="003C4419">
              <w:rPr>
                <w:rFonts w:ascii="Arial Narrow" w:hAnsi="Arial Narrow"/>
                <w:lang w:val="en-AU"/>
              </w:rPr>
              <w:t xml:space="preserve"> the total or number of equal groups where the individual items cannot be seen.  </w:t>
            </w:r>
          </w:p>
          <w:p w14:paraId="0CF55DD2" w14:textId="77777777" w:rsidR="00427F69" w:rsidRDefault="00427F69">
            <w:pPr>
              <w:rPr>
                <w:rFonts w:ascii="Arial Narrow" w:hAnsi="Arial Narrow"/>
              </w:rPr>
            </w:pPr>
          </w:p>
        </w:tc>
        <w:tc>
          <w:tcPr>
            <w:tcW w:w="710" w:type="pct"/>
            <w:vMerge w:val="restart"/>
          </w:tcPr>
          <w:p w14:paraId="3C1D0A92" w14:textId="77777777" w:rsidR="00427F69" w:rsidRDefault="00427F69" w:rsidP="003C4419">
            <w:pPr>
              <w:pStyle w:val="Default"/>
              <w:rPr>
                <w:rFonts w:ascii="Arial Narrow" w:hAnsi="Arial Narrow"/>
                <w:b/>
                <w:bCs/>
                <w:sz w:val="22"/>
                <w:szCs w:val="22"/>
              </w:rPr>
            </w:pPr>
            <w:r w:rsidRPr="0006422E">
              <w:rPr>
                <w:rFonts w:ascii="Arial Narrow" w:hAnsi="Arial Narrow"/>
                <w:b/>
                <w:bCs/>
                <w:sz w:val="22"/>
                <w:szCs w:val="22"/>
              </w:rPr>
              <w:t>Coordinating composite units</w:t>
            </w:r>
          </w:p>
          <w:p w14:paraId="412B4F3E" w14:textId="77777777" w:rsidR="00427F69" w:rsidRPr="0006422E" w:rsidRDefault="00427F69" w:rsidP="003C4419">
            <w:pPr>
              <w:pStyle w:val="Default"/>
              <w:rPr>
                <w:rFonts w:ascii="Arial Narrow" w:hAnsi="Arial Narrow"/>
                <w:sz w:val="22"/>
                <w:szCs w:val="22"/>
              </w:rPr>
            </w:pPr>
            <w:r w:rsidRPr="0006422E">
              <w:rPr>
                <w:rFonts w:ascii="Arial Narrow" w:hAnsi="Arial Narrow"/>
                <w:b/>
                <w:bCs/>
                <w:sz w:val="22"/>
                <w:szCs w:val="22"/>
              </w:rPr>
              <w:t xml:space="preserve"> </w:t>
            </w:r>
          </w:p>
          <w:p w14:paraId="358BCCF3" w14:textId="77777777" w:rsidR="00427F69" w:rsidRDefault="00427F69" w:rsidP="003C4419">
            <w:pPr>
              <w:pStyle w:val="Default"/>
              <w:rPr>
                <w:rFonts w:ascii="Arial Narrow" w:hAnsi="Arial Narrow"/>
                <w:sz w:val="22"/>
                <w:szCs w:val="22"/>
              </w:rPr>
            </w:pPr>
            <w:r>
              <w:rPr>
                <w:rFonts w:ascii="Arial Narrow" w:hAnsi="Arial Narrow"/>
                <w:sz w:val="22"/>
                <w:szCs w:val="22"/>
              </w:rPr>
              <w:t>The student:</w:t>
            </w:r>
          </w:p>
          <w:p w14:paraId="4F424E6F" w14:textId="77777777" w:rsidR="00427F69" w:rsidRPr="0006422E" w:rsidRDefault="00427F69" w:rsidP="003C4419">
            <w:pPr>
              <w:pStyle w:val="Default"/>
              <w:numPr>
                <w:ilvl w:val="0"/>
                <w:numId w:val="17"/>
              </w:numPr>
              <w:rPr>
                <w:rFonts w:ascii="Arial Narrow" w:hAnsi="Arial Narrow"/>
                <w:sz w:val="22"/>
                <w:szCs w:val="22"/>
              </w:rPr>
            </w:pPr>
            <w:r w:rsidRPr="0006422E">
              <w:rPr>
                <w:rFonts w:ascii="Arial Narrow" w:hAnsi="Arial Narrow"/>
                <w:sz w:val="22"/>
                <w:szCs w:val="22"/>
              </w:rPr>
              <w:t xml:space="preserve">coordinates two composite units (mentally) as an operation (that is, both the number of groups and the number in each group </w:t>
            </w:r>
            <w:r>
              <w:rPr>
                <w:rFonts w:ascii="Arial Narrow" w:hAnsi="Arial Narrow"/>
                <w:sz w:val="22"/>
                <w:szCs w:val="22"/>
              </w:rPr>
              <w:t xml:space="preserve">are treated as composite units) </w:t>
            </w:r>
          </w:p>
          <w:p w14:paraId="3DC7CF17" w14:textId="77777777" w:rsidR="00427F69" w:rsidRPr="0006422E" w:rsidRDefault="00427F69" w:rsidP="003C4419">
            <w:pPr>
              <w:pStyle w:val="Default"/>
              <w:numPr>
                <w:ilvl w:val="0"/>
                <w:numId w:val="17"/>
              </w:numPr>
              <w:rPr>
                <w:rFonts w:ascii="Arial Narrow" w:hAnsi="Arial Narrow"/>
                <w:sz w:val="22"/>
                <w:szCs w:val="22"/>
              </w:rPr>
            </w:pPr>
            <w:r>
              <w:rPr>
                <w:rFonts w:ascii="Arial Narrow" w:hAnsi="Arial Narrow"/>
                <w:sz w:val="22"/>
                <w:szCs w:val="22"/>
              </w:rPr>
              <w:t>represents</w:t>
            </w:r>
            <w:r w:rsidRPr="0006422E">
              <w:rPr>
                <w:rFonts w:ascii="Arial Narrow" w:hAnsi="Arial Narrow"/>
                <w:sz w:val="22"/>
                <w:szCs w:val="22"/>
              </w:rPr>
              <w:t xml:space="preserve"> multiplication in various ways (arrays, factors, ‘for </w:t>
            </w:r>
            <w:r>
              <w:rPr>
                <w:rFonts w:ascii="Arial Narrow" w:hAnsi="Arial Narrow"/>
                <w:sz w:val="22"/>
                <w:szCs w:val="22"/>
              </w:rPr>
              <w:t xml:space="preserve">each’) </w:t>
            </w:r>
          </w:p>
          <w:p w14:paraId="35608C3C" w14:textId="77777777" w:rsidR="00427F69" w:rsidRPr="0006422E" w:rsidRDefault="00427F69" w:rsidP="003C4419">
            <w:pPr>
              <w:pStyle w:val="Default"/>
              <w:numPr>
                <w:ilvl w:val="0"/>
                <w:numId w:val="17"/>
              </w:numPr>
              <w:rPr>
                <w:rFonts w:ascii="Arial Narrow" w:hAnsi="Arial Narrow"/>
                <w:sz w:val="22"/>
                <w:szCs w:val="22"/>
              </w:rPr>
            </w:pPr>
            <w:r w:rsidRPr="0006422E">
              <w:rPr>
                <w:rFonts w:ascii="Arial Narrow" w:hAnsi="Arial Narrow"/>
                <w:sz w:val="22"/>
                <w:szCs w:val="22"/>
              </w:rPr>
              <w:t>represents division as sharing division and measurement or grouping division</w:t>
            </w:r>
            <w:r>
              <w:rPr>
                <w:rFonts w:ascii="Arial Narrow" w:hAnsi="Arial Narrow"/>
                <w:sz w:val="22"/>
                <w:szCs w:val="22"/>
              </w:rPr>
              <w:t xml:space="preserve">. </w:t>
            </w:r>
          </w:p>
          <w:p w14:paraId="53F09C55" w14:textId="77777777" w:rsidR="00427F69" w:rsidRDefault="00427F69">
            <w:pPr>
              <w:rPr>
                <w:rFonts w:ascii="Arial Narrow" w:hAnsi="Arial Narrow"/>
              </w:rPr>
            </w:pPr>
          </w:p>
        </w:tc>
        <w:tc>
          <w:tcPr>
            <w:tcW w:w="1112" w:type="pct"/>
            <w:gridSpan w:val="2"/>
            <w:tcBorders>
              <w:bottom w:val="dashed" w:sz="4" w:space="0" w:color="auto"/>
            </w:tcBorders>
          </w:tcPr>
          <w:p w14:paraId="50AA4E1B" w14:textId="77777777" w:rsidR="00427F69" w:rsidRPr="0006422E" w:rsidRDefault="00427F69" w:rsidP="003C4419">
            <w:pPr>
              <w:pStyle w:val="Default"/>
              <w:rPr>
                <w:rFonts w:ascii="Arial Narrow" w:hAnsi="Arial Narrow"/>
                <w:sz w:val="22"/>
                <w:szCs w:val="22"/>
              </w:rPr>
            </w:pPr>
            <w:r w:rsidRPr="0006422E">
              <w:rPr>
                <w:rFonts w:ascii="Arial Narrow" w:hAnsi="Arial Narrow"/>
                <w:b/>
                <w:bCs/>
                <w:sz w:val="22"/>
                <w:szCs w:val="22"/>
              </w:rPr>
              <w:t xml:space="preserve">Flexible strategies for multiplication </w:t>
            </w:r>
          </w:p>
          <w:p w14:paraId="30834ADC" w14:textId="77777777" w:rsidR="00427F69" w:rsidRDefault="00427F69" w:rsidP="003C4419">
            <w:pPr>
              <w:pStyle w:val="Default"/>
              <w:rPr>
                <w:rFonts w:ascii="Arial Narrow" w:hAnsi="Arial Narrow"/>
                <w:sz w:val="22"/>
                <w:szCs w:val="22"/>
              </w:rPr>
            </w:pPr>
          </w:p>
          <w:p w14:paraId="37DBA6B9" w14:textId="77777777" w:rsidR="00427F69" w:rsidRDefault="00427F69" w:rsidP="003C4419">
            <w:pPr>
              <w:pStyle w:val="Default"/>
              <w:rPr>
                <w:rFonts w:ascii="Arial Narrow" w:hAnsi="Arial Narrow"/>
                <w:sz w:val="22"/>
                <w:szCs w:val="22"/>
              </w:rPr>
            </w:pPr>
            <w:r>
              <w:rPr>
                <w:rFonts w:ascii="Arial Narrow" w:hAnsi="Arial Narrow"/>
                <w:sz w:val="22"/>
                <w:szCs w:val="22"/>
              </w:rPr>
              <w:t xml:space="preserve">The student: </w:t>
            </w:r>
          </w:p>
          <w:p w14:paraId="0097E805" w14:textId="77777777" w:rsidR="00427F69" w:rsidRPr="0006422E" w:rsidRDefault="00427F69" w:rsidP="003C4419">
            <w:pPr>
              <w:pStyle w:val="Default"/>
              <w:numPr>
                <w:ilvl w:val="0"/>
                <w:numId w:val="18"/>
              </w:numPr>
              <w:rPr>
                <w:rFonts w:ascii="Arial Narrow" w:hAnsi="Arial Narrow"/>
                <w:sz w:val="22"/>
                <w:szCs w:val="22"/>
              </w:rPr>
            </w:pPr>
            <w:r w:rsidRPr="0006422E">
              <w:rPr>
                <w:rFonts w:ascii="Arial Narrow" w:hAnsi="Arial Narrow"/>
                <w:sz w:val="22"/>
                <w:szCs w:val="22"/>
              </w:rPr>
              <w:t xml:space="preserve">draws on the structure of multiplication to use known multiples in calculating related multiples (uses multiples of 4 to calculate multiples of 8) </w:t>
            </w:r>
          </w:p>
          <w:p w14:paraId="5EACAF01" w14:textId="77777777" w:rsidR="00427F69" w:rsidRPr="0006422E" w:rsidRDefault="00427F69" w:rsidP="003C4419">
            <w:pPr>
              <w:pStyle w:val="Default"/>
              <w:numPr>
                <w:ilvl w:val="0"/>
                <w:numId w:val="18"/>
              </w:numPr>
              <w:rPr>
                <w:rFonts w:ascii="Arial Narrow" w:hAnsi="Arial Narrow"/>
                <w:sz w:val="22"/>
                <w:szCs w:val="22"/>
              </w:rPr>
            </w:pPr>
            <w:r>
              <w:rPr>
                <w:rFonts w:ascii="Arial Narrow" w:hAnsi="Arial Narrow"/>
                <w:sz w:val="22"/>
                <w:szCs w:val="22"/>
              </w:rPr>
              <w:t>uses</w:t>
            </w:r>
            <w:r w:rsidRPr="0006422E">
              <w:rPr>
                <w:rFonts w:ascii="Arial Narrow" w:hAnsi="Arial Narrow"/>
                <w:sz w:val="22"/>
                <w:szCs w:val="22"/>
              </w:rPr>
              <w:t xml:space="preserve"> known single-digit multiplication facts (7 boxes of 6 donuts is 42 donuts altogether because 7 x 6 = 42) </w:t>
            </w:r>
          </w:p>
          <w:p w14:paraId="21C29321" w14:textId="77777777" w:rsidR="00427F69" w:rsidRPr="0006422E" w:rsidRDefault="00427F69" w:rsidP="003C4419">
            <w:pPr>
              <w:pStyle w:val="Default"/>
              <w:numPr>
                <w:ilvl w:val="0"/>
                <w:numId w:val="18"/>
              </w:numPr>
              <w:rPr>
                <w:rFonts w:ascii="Arial Narrow" w:hAnsi="Arial Narrow"/>
                <w:sz w:val="22"/>
                <w:szCs w:val="22"/>
              </w:rPr>
            </w:pPr>
            <w:r w:rsidRPr="0006422E">
              <w:rPr>
                <w:rFonts w:ascii="Arial Narrow" w:hAnsi="Arial Narrow"/>
                <w:sz w:val="22"/>
                <w:szCs w:val="22"/>
              </w:rPr>
              <w:t>applies known facts and strategies for multiplication to mentally calculate (3 sixes is ‘double 6’ plus 1 more row of 6, 5 x 19 is half of 10 x 19 o</w:t>
            </w:r>
            <w:r>
              <w:rPr>
                <w:rFonts w:ascii="Arial Narrow" w:hAnsi="Arial Narrow"/>
                <w:sz w:val="22"/>
                <w:szCs w:val="22"/>
              </w:rPr>
              <w:t>r 5 x 19 is 5 x 20 take away 5)</w:t>
            </w:r>
          </w:p>
          <w:p w14:paraId="40932F28" w14:textId="77777777" w:rsidR="00427F69" w:rsidRDefault="00427F69" w:rsidP="00505889">
            <w:pPr>
              <w:pStyle w:val="Default"/>
              <w:numPr>
                <w:ilvl w:val="0"/>
                <w:numId w:val="18"/>
              </w:numPr>
              <w:rPr>
                <w:rFonts w:ascii="Arial Narrow" w:hAnsi="Arial Narrow"/>
                <w:sz w:val="22"/>
                <w:szCs w:val="22"/>
              </w:rPr>
            </w:pPr>
            <w:r>
              <w:rPr>
                <w:rFonts w:ascii="Arial Narrow" w:hAnsi="Arial Narrow"/>
                <w:sz w:val="22"/>
                <w:szCs w:val="22"/>
              </w:rPr>
              <w:t>uses</w:t>
            </w:r>
            <w:r w:rsidRPr="0006422E">
              <w:rPr>
                <w:rFonts w:ascii="Arial Narrow" w:hAnsi="Arial Narrow"/>
                <w:sz w:val="22"/>
                <w:szCs w:val="22"/>
              </w:rPr>
              <w:t xml:space="preserve"> commutative properties of numbe</w:t>
            </w:r>
            <w:r>
              <w:rPr>
                <w:rFonts w:ascii="Arial Narrow" w:hAnsi="Arial Narrow"/>
                <w:sz w:val="22"/>
                <w:szCs w:val="22"/>
              </w:rPr>
              <w:t xml:space="preserve">rs (5 x 6 is the same as 6 x 5). </w:t>
            </w:r>
          </w:p>
          <w:p w14:paraId="6984E706" w14:textId="77777777" w:rsidR="00F158E5" w:rsidRPr="00505889" w:rsidRDefault="00F158E5" w:rsidP="00F158E5">
            <w:pPr>
              <w:pStyle w:val="Default"/>
              <w:rPr>
                <w:rFonts w:ascii="Arial Narrow" w:hAnsi="Arial Narrow"/>
                <w:sz w:val="22"/>
                <w:szCs w:val="22"/>
              </w:rPr>
            </w:pPr>
          </w:p>
        </w:tc>
        <w:tc>
          <w:tcPr>
            <w:tcW w:w="871" w:type="pct"/>
            <w:vMerge w:val="restart"/>
          </w:tcPr>
          <w:p w14:paraId="2A9FB4B0" w14:textId="77777777" w:rsidR="00427F69" w:rsidRPr="0006422E" w:rsidRDefault="00427F69" w:rsidP="003C4419">
            <w:pPr>
              <w:pStyle w:val="Default"/>
              <w:rPr>
                <w:rFonts w:ascii="Arial Narrow" w:hAnsi="Arial Narrow"/>
                <w:b/>
                <w:bCs/>
                <w:sz w:val="22"/>
                <w:szCs w:val="22"/>
              </w:rPr>
            </w:pPr>
            <w:r w:rsidRPr="0006422E">
              <w:rPr>
                <w:rFonts w:ascii="Arial Narrow" w:hAnsi="Arial Narrow"/>
                <w:b/>
                <w:bCs/>
                <w:sz w:val="22"/>
                <w:szCs w:val="22"/>
              </w:rPr>
              <w:t xml:space="preserve">Flexible number properties </w:t>
            </w:r>
          </w:p>
          <w:p w14:paraId="4BE37FCE" w14:textId="77777777" w:rsidR="00427F69" w:rsidRDefault="00427F69" w:rsidP="003C4419">
            <w:pPr>
              <w:pStyle w:val="Default"/>
              <w:rPr>
                <w:rFonts w:ascii="Arial Narrow" w:hAnsi="Arial Narrow"/>
                <w:sz w:val="22"/>
                <w:szCs w:val="22"/>
              </w:rPr>
            </w:pPr>
          </w:p>
          <w:p w14:paraId="71AAE0B1" w14:textId="77777777" w:rsidR="00427F69" w:rsidRDefault="00427F69" w:rsidP="003C4419">
            <w:pPr>
              <w:pStyle w:val="Default"/>
              <w:rPr>
                <w:rFonts w:ascii="Arial Narrow" w:hAnsi="Arial Narrow"/>
                <w:sz w:val="22"/>
                <w:szCs w:val="22"/>
              </w:rPr>
            </w:pPr>
            <w:r>
              <w:rPr>
                <w:rFonts w:ascii="Arial Narrow" w:hAnsi="Arial Narrow"/>
                <w:sz w:val="22"/>
                <w:szCs w:val="22"/>
              </w:rPr>
              <w:t xml:space="preserve">The student: </w:t>
            </w:r>
          </w:p>
          <w:p w14:paraId="437AE4DB" w14:textId="77777777" w:rsidR="00427F69" w:rsidRPr="0006422E" w:rsidRDefault="00427F69" w:rsidP="003C4419">
            <w:pPr>
              <w:pStyle w:val="Default"/>
              <w:numPr>
                <w:ilvl w:val="0"/>
                <w:numId w:val="20"/>
              </w:numPr>
              <w:rPr>
                <w:rFonts w:ascii="Arial Narrow" w:hAnsi="Arial Narrow"/>
                <w:sz w:val="22"/>
                <w:szCs w:val="22"/>
              </w:rPr>
            </w:pPr>
            <w:r w:rsidRPr="0006422E">
              <w:rPr>
                <w:rFonts w:ascii="Arial Narrow" w:hAnsi="Arial Narrow"/>
                <w:sz w:val="22"/>
                <w:szCs w:val="22"/>
              </w:rPr>
              <w:t xml:space="preserve">uses multiplication and division as inverse operations </w:t>
            </w:r>
          </w:p>
          <w:p w14:paraId="5CAA7774" w14:textId="77777777" w:rsidR="00427F69" w:rsidRPr="0006422E" w:rsidRDefault="00427F69" w:rsidP="003C4419">
            <w:pPr>
              <w:pStyle w:val="Default"/>
              <w:numPr>
                <w:ilvl w:val="0"/>
                <w:numId w:val="20"/>
              </w:numPr>
              <w:rPr>
                <w:rFonts w:ascii="Arial Narrow" w:hAnsi="Arial Narrow"/>
                <w:sz w:val="22"/>
                <w:szCs w:val="22"/>
              </w:rPr>
            </w:pPr>
            <w:r>
              <w:rPr>
                <w:rFonts w:ascii="Arial Narrow" w:hAnsi="Arial Narrow"/>
                <w:sz w:val="22"/>
                <w:szCs w:val="22"/>
              </w:rPr>
              <w:t>uses</w:t>
            </w:r>
            <w:r w:rsidRPr="0006422E">
              <w:rPr>
                <w:rFonts w:ascii="Arial Narrow" w:hAnsi="Arial Narrow"/>
                <w:sz w:val="22"/>
                <w:szCs w:val="22"/>
              </w:rPr>
              <w:t xml:space="preserve"> factors of a number to carry out multiplication and division (to multiply a number by 72, first multiply by 12 and then multiply the result by 6) </w:t>
            </w:r>
          </w:p>
          <w:p w14:paraId="12B58B70" w14:textId="77777777" w:rsidR="00427F69" w:rsidRPr="0006422E" w:rsidRDefault="00427F69" w:rsidP="003C4419">
            <w:pPr>
              <w:pStyle w:val="Default"/>
              <w:numPr>
                <w:ilvl w:val="0"/>
                <w:numId w:val="20"/>
              </w:numPr>
              <w:rPr>
                <w:rFonts w:ascii="Arial Narrow" w:hAnsi="Arial Narrow"/>
                <w:sz w:val="22"/>
                <w:szCs w:val="22"/>
              </w:rPr>
            </w:pPr>
            <w:r w:rsidRPr="0006422E">
              <w:rPr>
                <w:rFonts w:ascii="Arial Narrow" w:hAnsi="Arial Narrow"/>
                <w:sz w:val="22"/>
                <w:szCs w:val="22"/>
              </w:rPr>
              <w:t>uses knowledge of distributive property of multiplication over addition (7</w:t>
            </w:r>
            <w:r>
              <w:rPr>
                <w:rFonts w:ascii="Arial Narrow" w:hAnsi="Arial Narrow"/>
                <w:sz w:val="22"/>
                <w:szCs w:val="22"/>
              </w:rPr>
              <w:t xml:space="preserve"> x 83 equals 7 x 80 plus 7 x 3)</w:t>
            </w:r>
          </w:p>
          <w:p w14:paraId="59B3098C" w14:textId="77777777" w:rsidR="00427F69" w:rsidRPr="0006422E" w:rsidRDefault="00427F69" w:rsidP="003C4419">
            <w:pPr>
              <w:pStyle w:val="Default"/>
              <w:numPr>
                <w:ilvl w:val="0"/>
                <w:numId w:val="20"/>
              </w:numPr>
              <w:rPr>
                <w:rFonts w:ascii="Arial Narrow" w:hAnsi="Arial Narrow"/>
                <w:sz w:val="22"/>
                <w:szCs w:val="22"/>
              </w:rPr>
            </w:pPr>
            <w:r>
              <w:rPr>
                <w:rFonts w:ascii="Arial Narrow" w:hAnsi="Arial Narrow"/>
                <w:sz w:val="22"/>
                <w:szCs w:val="22"/>
              </w:rPr>
              <w:t>uses</w:t>
            </w:r>
            <w:r w:rsidRPr="0006422E">
              <w:rPr>
                <w:rFonts w:ascii="Arial Narrow" w:hAnsi="Arial Narrow"/>
                <w:sz w:val="22"/>
                <w:szCs w:val="22"/>
              </w:rPr>
              <w:t xml:space="preserve"> decomposition into hundreds, tens and ones to calculate using partial products with numbers of any size (327 x 14 is equal to 4 x 327 plus 10 x 327) </w:t>
            </w:r>
          </w:p>
          <w:p w14:paraId="44823319" w14:textId="77777777" w:rsidR="00427F69" w:rsidRPr="0006422E" w:rsidRDefault="00427F69" w:rsidP="003C4419">
            <w:pPr>
              <w:pStyle w:val="Default"/>
              <w:numPr>
                <w:ilvl w:val="0"/>
                <w:numId w:val="20"/>
              </w:numPr>
              <w:rPr>
                <w:rFonts w:ascii="Arial Narrow" w:hAnsi="Arial Narrow"/>
                <w:sz w:val="22"/>
                <w:szCs w:val="22"/>
              </w:rPr>
            </w:pPr>
            <w:r w:rsidRPr="0006422E">
              <w:rPr>
                <w:rFonts w:ascii="Arial Narrow" w:hAnsi="Arial Narrow"/>
                <w:sz w:val="22"/>
                <w:szCs w:val="22"/>
              </w:rPr>
              <w:t>uses estimation and rounding to check the reasonableness of products and quotients</w:t>
            </w:r>
            <w:r>
              <w:rPr>
                <w:rFonts w:ascii="Arial Narrow" w:hAnsi="Arial Narrow"/>
                <w:sz w:val="22"/>
                <w:szCs w:val="22"/>
              </w:rPr>
              <w:t xml:space="preserve">. </w:t>
            </w:r>
          </w:p>
          <w:p w14:paraId="51EF2DDB" w14:textId="77777777" w:rsidR="00427F69" w:rsidRDefault="00427F69">
            <w:pPr>
              <w:rPr>
                <w:rFonts w:ascii="Arial Narrow" w:hAnsi="Arial Narrow"/>
              </w:rPr>
            </w:pPr>
          </w:p>
        </w:tc>
      </w:tr>
      <w:tr w:rsidR="00427F69" w14:paraId="2C5F6D56" w14:textId="77777777" w:rsidTr="000217DA">
        <w:trPr>
          <w:trHeight w:val="2715"/>
        </w:trPr>
        <w:tc>
          <w:tcPr>
            <w:tcW w:w="576" w:type="pct"/>
            <w:vMerge/>
          </w:tcPr>
          <w:p w14:paraId="4162C8D6" w14:textId="77777777" w:rsidR="00427F69" w:rsidRPr="0006422E" w:rsidRDefault="00427F69" w:rsidP="003C4419">
            <w:pPr>
              <w:pStyle w:val="Default"/>
              <w:rPr>
                <w:rFonts w:ascii="Arial Narrow" w:hAnsi="Arial Narrow"/>
                <w:b/>
                <w:bCs/>
                <w:sz w:val="22"/>
                <w:szCs w:val="22"/>
              </w:rPr>
            </w:pPr>
          </w:p>
        </w:tc>
        <w:tc>
          <w:tcPr>
            <w:tcW w:w="577" w:type="pct"/>
            <w:gridSpan w:val="2"/>
            <w:vMerge/>
          </w:tcPr>
          <w:p w14:paraId="05BF80EE" w14:textId="77777777" w:rsidR="00427F69" w:rsidRPr="0006422E" w:rsidRDefault="00427F69" w:rsidP="003C4419">
            <w:pPr>
              <w:pStyle w:val="Default"/>
              <w:rPr>
                <w:rFonts w:ascii="Arial Narrow" w:hAnsi="Arial Narrow"/>
                <w:b/>
                <w:bCs/>
                <w:sz w:val="22"/>
                <w:szCs w:val="22"/>
              </w:rPr>
            </w:pPr>
          </w:p>
        </w:tc>
        <w:tc>
          <w:tcPr>
            <w:tcW w:w="577" w:type="pct"/>
            <w:vMerge/>
          </w:tcPr>
          <w:p w14:paraId="1EC1CD01" w14:textId="77777777" w:rsidR="00427F69" w:rsidRPr="0006422E" w:rsidRDefault="00427F69" w:rsidP="003C4419">
            <w:pPr>
              <w:pStyle w:val="Default"/>
              <w:rPr>
                <w:rFonts w:ascii="Arial Narrow" w:hAnsi="Arial Narrow"/>
                <w:b/>
                <w:bCs/>
                <w:sz w:val="22"/>
                <w:szCs w:val="22"/>
              </w:rPr>
            </w:pPr>
          </w:p>
        </w:tc>
        <w:tc>
          <w:tcPr>
            <w:tcW w:w="577" w:type="pct"/>
            <w:vMerge/>
          </w:tcPr>
          <w:p w14:paraId="0BE26F17" w14:textId="77777777" w:rsidR="00427F69" w:rsidRPr="003C4419" w:rsidRDefault="00427F69" w:rsidP="003C4419">
            <w:pPr>
              <w:rPr>
                <w:rFonts w:ascii="Arial Narrow" w:hAnsi="Arial Narrow"/>
                <w:b/>
                <w:bCs/>
                <w:lang w:val="en-AU"/>
              </w:rPr>
            </w:pPr>
          </w:p>
        </w:tc>
        <w:tc>
          <w:tcPr>
            <w:tcW w:w="710" w:type="pct"/>
            <w:vMerge/>
          </w:tcPr>
          <w:p w14:paraId="08CC8306" w14:textId="77777777" w:rsidR="00427F69" w:rsidRPr="0006422E" w:rsidRDefault="00427F69" w:rsidP="003C4419">
            <w:pPr>
              <w:pStyle w:val="Default"/>
              <w:rPr>
                <w:rFonts w:ascii="Arial Narrow" w:hAnsi="Arial Narrow"/>
                <w:b/>
                <w:bCs/>
                <w:sz w:val="22"/>
                <w:szCs w:val="22"/>
              </w:rPr>
            </w:pPr>
          </w:p>
        </w:tc>
        <w:tc>
          <w:tcPr>
            <w:tcW w:w="1112" w:type="pct"/>
            <w:gridSpan w:val="2"/>
            <w:tcBorders>
              <w:top w:val="dashed" w:sz="4" w:space="0" w:color="auto"/>
            </w:tcBorders>
          </w:tcPr>
          <w:p w14:paraId="28CB4377" w14:textId="77777777" w:rsidR="00427F69" w:rsidRDefault="00427F69" w:rsidP="003C4419">
            <w:pPr>
              <w:pStyle w:val="Default"/>
              <w:rPr>
                <w:rFonts w:ascii="Arial Narrow" w:hAnsi="Arial Narrow"/>
                <w:b/>
                <w:bCs/>
                <w:sz w:val="22"/>
                <w:szCs w:val="22"/>
              </w:rPr>
            </w:pPr>
          </w:p>
          <w:p w14:paraId="18E7EE3F" w14:textId="77777777" w:rsidR="00427F69" w:rsidRPr="0006422E" w:rsidRDefault="00427F69" w:rsidP="003C4419">
            <w:pPr>
              <w:pStyle w:val="Default"/>
              <w:rPr>
                <w:rFonts w:ascii="Arial Narrow" w:hAnsi="Arial Narrow"/>
                <w:sz w:val="22"/>
                <w:szCs w:val="22"/>
              </w:rPr>
            </w:pPr>
            <w:r w:rsidRPr="0006422E">
              <w:rPr>
                <w:rFonts w:ascii="Arial Narrow" w:hAnsi="Arial Narrow"/>
                <w:b/>
                <w:bCs/>
                <w:sz w:val="22"/>
                <w:szCs w:val="22"/>
              </w:rPr>
              <w:t xml:space="preserve">Flexible strategies for division </w:t>
            </w:r>
          </w:p>
          <w:p w14:paraId="14AB9B57" w14:textId="77777777" w:rsidR="00427F69" w:rsidRDefault="00427F69" w:rsidP="003C4419">
            <w:pPr>
              <w:pStyle w:val="Default"/>
              <w:rPr>
                <w:rFonts w:ascii="Arial Narrow" w:hAnsi="Arial Narrow"/>
                <w:sz w:val="22"/>
                <w:szCs w:val="22"/>
              </w:rPr>
            </w:pPr>
          </w:p>
          <w:p w14:paraId="167311C7" w14:textId="77777777" w:rsidR="00427F69" w:rsidRDefault="00427F69" w:rsidP="003C4419">
            <w:pPr>
              <w:pStyle w:val="Default"/>
              <w:rPr>
                <w:rFonts w:ascii="Arial Narrow" w:hAnsi="Arial Narrow"/>
                <w:sz w:val="22"/>
                <w:szCs w:val="22"/>
              </w:rPr>
            </w:pPr>
            <w:r>
              <w:rPr>
                <w:rFonts w:ascii="Arial Narrow" w:hAnsi="Arial Narrow"/>
                <w:sz w:val="22"/>
                <w:szCs w:val="22"/>
              </w:rPr>
              <w:t xml:space="preserve">The student: </w:t>
            </w:r>
          </w:p>
          <w:p w14:paraId="577DC979" w14:textId="77777777" w:rsidR="00427F69" w:rsidRPr="0006422E" w:rsidRDefault="00427F69" w:rsidP="003C4419">
            <w:pPr>
              <w:pStyle w:val="Default"/>
              <w:numPr>
                <w:ilvl w:val="0"/>
                <w:numId w:val="19"/>
              </w:numPr>
              <w:rPr>
                <w:rFonts w:ascii="Arial Narrow" w:hAnsi="Arial Narrow"/>
                <w:sz w:val="22"/>
                <w:szCs w:val="22"/>
              </w:rPr>
            </w:pPr>
            <w:r w:rsidRPr="0006422E">
              <w:rPr>
                <w:rFonts w:ascii="Arial Narrow" w:hAnsi="Arial Narrow"/>
                <w:sz w:val="22"/>
                <w:szCs w:val="22"/>
              </w:rPr>
              <w:t xml:space="preserve">applies known multiples and strategies for division to mentally calculate (to find 64 divided </w:t>
            </w:r>
            <w:r>
              <w:rPr>
                <w:rFonts w:ascii="Arial Narrow" w:hAnsi="Arial Narrow"/>
                <w:sz w:val="22"/>
                <w:szCs w:val="22"/>
              </w:rPr>
              <w:t xml:space="preserve">by 4, halves 64 then halves 32) </w:t>
            </w:r>
          </w:p>
          <w:p w14:paraId="0FA6FA0E" w14:textId="74B4768A" w:rsidR="00427F69" w:rsidRPr="0006422E" w:rsidRDefault="00427F69" w:rsidP="003C4419">
            <w:pPr>
              <w:pStyle w:val="Default"/>
              <w:numPr>
                <w:ilvl w:val="0"/>
                <w:numId w:val="19"/>
              </w:numPr>
              <w:rPr>
                <w:rFonts w:ascii="Arial Narrow" w:hAnsi="Arial Narrow"/>
                <w:sz w:val="22"/>
                <w:szCs w:val="22"/>
              </w:rPr>
            </w:pPr>
            <w:r>
              <w:rPr>
                <w:rFonts w:ascii="Arial Narrow" w:hAnsi="Arial Narrow"/>
                <w:sz w:val="22"/>
                <w:szCs w:val="22"/>
              </w:rPr>
              <w:t>explains</w:t>
            </w:r>
            <w:r w:rsidRPr="0006422E">
              <w:rPr>
                <w:rFonts w:ascii="Arial Narrow" w:hAnsi="Arial Narrow"/>
                <w:sz w:val="22"/>
                <w:szCs w:val="22"/>
              </w:rPr>
              <w:t xml:space="preserve"> the idea of a remainder as an incomplete next row or </w:t>
            </w:r>
            <w:r w:rsidR="005D6671" w:rsidRPr="0006422E">
              <w:rPr>
                <w:rFonts w:ascii="Arial Narrow" w:hAnsi="Arial Narrow"/>
                <w:sz w:val="22"/>
                <w:szCs w:val="22"/>
              </w:rPr>
              <w:t>multiple and</w:t>
            </w:r>
            <w:r w:rsidRPr="0006422E">
              <w:rPr>
                <w:rFonts w:ascii="Arial Narrow" w:hAnsi="Arial Narrow"/>
                <w:sz w:val="22"/>
                <w:szCs w:val="22"/>
              </w:rPr>
              <w:t xml:space="preserve"> determines what is ‘left over’ from the division</w:t>
            </w:r>
            <w:r>
              <w:rPr>
                <w:rFonts w:ascii="Arial Narrow" w:hAnsi="Arial Narrow"/>
                <w:sz w:val="22"/>
                <w:szCs w:val="22"/>
              </w:rPr>
              <w:t xml:space="preserve">. </w:t>
            </w:r>
            <w:r w:rsidRPr="0006422E">
              <w:rPr>
                <w:rFonts w:ascii="Arial Narrow" w:hAnsi="Arial Narrow"/>
                <w:sz w:val="22"/>
                <w:szCs w:val="22"/>
              </w:rPr>
              <w:t xml:space="preserve"> </w:t>
            </w:r>
          </w:p>
          <w:p w14:paraId="13D3AF6C" w14:textId="77777777" w:rsidR="00427F69" w:rsidRPr="0006422E" w:rsidRDefault="00427F69" w:rsidP="00427F69">
            <w:pPr>
              <w:rPr>
                <w:rFonts w:ascii="Arial Narrow" w:hAnsi="Arial Narrow"/>
                <w:b/>
                <w:bCs/>
              </w:rPr>
            </w:pPr>
          </w:p>
        </w:tc>
        <w:tc>
          <w:tcPr>
            <w:tcW w:w="871" w:type="pct"/>
            <w:vMerge/>
          </w:tcPr>
          <w:p w14:paraId="3AFD8EE3" w14:textId="77777777" w:rsidR="00427F69" w:rsidRPr="0006422E" w:rsidRDefault="00427F69" w:rsidP="003C4419">
            <w:pPr>
              <w:pStyle w:val="Default"/>
              <w:rPr>
                <w:rFonts w:ascii="Arial Narrow" w:hAnsi="Arial Narrow"/>
                <w:b/>
                <w:bCs/>
                <w:sz w:val="22"/>
                <w:szCs w:val="22"/>
              </w:rPr>
            </w:pPr>
          </w:p>
        </w:tc>
      </w:tr>
    </w:tbl>
    <w:p w14:paraId="63F25209" w14:textId="77777777" w:rsidR="00BD78F6" w:rsidRPr="00432138" w:rsidRDefault="00BD78F6" w:rsidP="00BD78F6">
      <w:pPr>
        <w:pStyle w:val="VCAAbody"/>
        <w:rPr>
          <w:rFonts w:asciiTheme="minorHAnsi" w:hAnsiTheme="minorHAnsi" w:cstheme="minorHAnsi"/>
          <w:b/>
          <w:color w:val="FFFFFF" w:themeColor="background1"/>
        </w:rPr>
      </w:pPr>
      <w:r w:rsidRPr="00432138">
        <w:rPr>
          <w:rFonts w:asciiTheme="minorHAnsi" w:hAnsiTheme="minorHAnsi" w:cstheme="minorHAnsi"/>
        </w:rPr>
        <w:t>Student learning in numeracy has links beyond Mathematics in the Victorian Curriculum F–10.  Teachers are encouraged to identify links within their teaching and learning plans.</w:t>
      </w:r>
      <w:r w:rsidRPr="00432138">
        <w:rPr>
          <w:rFonts w:asciiTheme="minorHAnsi" w:hAnsiTheme="minorHAnsi" w:cstheme="minorHAnsi"/>
          <w:b/>
          <w:color w:val="FFFFFF" w:themeColor="background1"/>
        </w:rPr>
        <w:t xml:space="preserve"> </w:t>
      </w:r>
    </w:p>
    <w:p w14:paraId="6241FC48" w14:textId="77777777" w:rsidR="00BD78F6" w:rsidRPr="00871D52" w:rsidRDefault="00BD78F6" w:rsidP="00BD78F6">
      <w:pPr>
        <w:rPr>
          <w:lang w:val="en-AU"/>
        </w:rPr>
      </w:pPr>
    </w:p>
    <w:p w14:paraId="18784E45" w14:textId="77777777" w:rsidR="00A01F73" w:rsidRDefault="00A01F73" w:rsidP="00267736">
      <w:pPr>
        <w:pStyle w:val="VCAAHeading4"/>
        <w:rPr>
          <w:rFonts w:asciiTheme="minorHAnsi" w:hAnsiTheme="minorHAnsi" w:cstheme="minorHAnsi"/>
          <w:sz w:val="28"/>
          <w:szCs w:val="28"/>
        </w:rPr>
      </w:pPr>
    </w:p>
    <w:p w14:paraId="5A5F670F" w14:textId="77777777" w:rsidR="00A01F73" w:rsidRPr="00505889" w:rsidRDefault="00A01F73" w:rsidP="00267736">
      <w:pPr>
        <w:pStyle w:val="VCAAHeading4"/>
        <w:rPr>
          <w:rFonts w:asciiTheme="minorHAnsi" w:hAnsiTheme="minorHAnsi" w:cstheme="minorHAnsi"/>
          <w:sz w:val="22"/>
        </w:rPr>
      </w:pPr>
    </w:p>
    <w:sectPr w:rsidR="00A01F73" w:rsidRPr="00505889" w:rsidSect="00267736">
      <w:headerReference w:type="even" r:id="rId12"/>
      <w:headerReference w:type="default" r:id="rId13"/>
      <w:footerReference w:type="even" r:id="rId14"/>
      <w:footerReference w:type="default" r:id="rId15"/>
      <w:headerReference w:type="first" r:id="rId16"/>
      <w:footerReference w:type="first" r:id="rId17"/>
      <w:type w:val="continuous"/>
      <w:pgSz w:w="23814" w:h="16839" w:orient="landscape" w:code="8"/>
      <w:pgMar w:top="1440" w:right="1440" w:bottom="1440" w:left="1440" w:header="284" w:footer="2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C066C" w14:textId="77777777" w:rsidR="000B47EE" w:rsidRDefault="000B47EE" w:rsidP="00304EA1">
      <w:pPr>
        <w:spacing w:after="0" w:line="240" w:lineRule="auto"/>
      </w:pPr>
      <w:r>
        <w:separator/>
      </w:r>
    </w:p>
  </w:endnote>
  <w:endnote w:type="continuationSeparator" w:id="0">
    <w:p w14:paraId="40AE1252" w14:textId="77777777" w:rsidR="000B47EE" w:rsidRDefault="000B47EE"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98FD9" w14:textId="77777777" w:rsidR="001C71C1" w:rsidRDefault="001C71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6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230"/>
      <w:gridCol w:w="8930"/>
    </w:tblGrid>
    <w:tr w:rsidR="000B47EE" w14:paraId="426D37B8" w14:textId="77777777" w:rsidTr="004754A7">
      <w:trPr>
        <w:trHeight w:val="701"/>
      </w:trPr>
      <w:tc>
        <w:tcPr>
          <w:tcW w:w="7230" w:type="dxa"/>
          <w:vAlign w:val="center"/>
        </w:tcPr>
        <w:p w14:paraId="0A6D37B6" w14:textId="77777777" w:rsidR="000B47EE" w:rsidRPr="002329F3" w:rsidRDefault="000B47EE" w:rsidP="0028516B">
          <w:pPr>
            <w:pStyle w:val="VCAAtrademarkinfo"/>
          </w:pPr>
          <w:r>
            <w:rPr>
              <w:color w:val="999999" w:themeColor="accent2"/>
            </w:rPr>
            <w:t xml:space="preserve">© </w:t>
          </w:r>
          <w:hyperlink r:id="rId1" w:history="1">
            <w:r>
              <w:rPr>
                <w:rStyle w:val="Hyperlink"/>
              </w:rPr>
              <w:t>VCAA</w:t>
            </w:r>
          </w:hyperlink>
        </w:p>
      </w:tc>
      <w:tc>
        <w:tcPr>
          <w:tcW w:w="8930" w:type="dxa"/>
          <w:vAlign w:val="center"/>
        </w:tcPr>
        <w:p w14:paraId="1AFEF798" w14:textId="77777777" w:rsidR="000B47EE" w:rsidRPr="00B41951" w:rsidRDefault="000B47EE"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tc>
    </w:tr>
  </w:tbl>
  <w:p w14:paraId="72FF5BD7" w14:textId="77777777" w:rsidR="000B47EE" w:rsidRPr="00243F0D" w:rsidRDefault="000B47EE" w:rsidP="00243F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4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11046"/>
    </w:tblGrid>
    <w:tr w:rsidR="001C71C1" w14:paraId="24B5F5EA" w14:textId="77777777" w:rsidTr="001C71C1">
      <w:trPr>
        <w:trHeight w:val="993"/>
      </w:trPr>
      <w:tc>
        <w:tcPr>
          <w:tcW w:w="3261" w:type="dxa"/>
          <w:shd w:val="clear" w:color="auto" w:fill="auto"/>
          <w:vAlign w:val="center"/>
        </w:tcPr>
        <w:p w14:paraId="1CC82ACD" w14:textId="4170D735" w:rsidR="001C71C1" w:rsidRPr="00B41951" w:rsidRDefault="00E66CEA" w:rsidP="00D468D5">
          <w:pPr>
            <w:pStyle w:val="VCAAbody"/>
            <w:jc w:val="center"/>
            <w:rPr>
              <w:sz w:val="18"/>
              <w:szCs w:val="18"/>
            </w:rPr>
          </w:pPr>
          <w:hyperlink r:id="rId1" w:tgtFrame="_blank" w:history="1">
            <w:r w:rsidR="001C71C1">
              <w:rPr>
                <w:rStyle w:val="Hyperlink"/>
                <w:color w:val="0066CC"/>
                <w:sz w:val="20"/>
                <w:szCs w:val="20"/>
              </w:rPr>
              <w:t>VCAA</w:t>
            </w:r>
          </w:hyperlink>
          <w:r w:rsidR="001C71C1">
            <w:rPr>
              <w:color w:val="000000"/>
              <w:sz w:val="20"/>
              <w:szCs w:val="20"/>
            </w:rPr>
            <w:t> </w:t>
          </w:r>
          <w:r w:rsidR="001C71C1">
            <w:rPr>
              <w:color w:val="999999"/>
              <w:sz w:val="20"/>
              <w:szCs w:val="20"/>
            </w:rPr>
            <w:t>© 2018</w:t>
          </w:r>
        </w:p>
      </w:tc>
      <w:tc>
        <w:tcPr>
          <w:tcW w:w="11046" w:type="dxa"/>
          <w:vAlign w:val="center"/>
        </w:tcPr>
        <w:p w14:paraId="461EBFEE" w14:textId="20FCE39F" w:rsidR="001C71C1" w:rsidRDefault="001C71C1" w:rsidP="00E548A3">
          <w:pPr>
            <w:pStyle w:val="Footer"/>
            <w:tabs>
              <w:tab w:val="clear" w:pos="9026"/>
              <w:tab w:val="left" w:pos="8376"/>
              <w:tab w:val="right" w:pos="11340"/>
            </w:tabs>
            <w:ind w:right="5562"/>
            <w:jc w:val="right"/>
          </w:pPr>
          <w:r>
            <w:rPr>
              <w:noProof/>
              <w:lang w:val="en-AU" w:eastAsia="en-AU"/>
            </w:rPr>
            <w:t xml:space="preserve">     </w:t>
          </w:r>
        </w:p>
      </w:tc>
    </w:tr>
  </w:tbl>
  <w:p w14:paraId="73A7CD6C" w14:textId="77777777" w:rsidR="000B47EE" w:rsidRDefault="000B47EE"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019AEB" w14:textId="77777777" w:rsidR="000B47EE" w:rsidRDefault="000B47EE" w:rsidP="00304EA1">
      <w:pPr>
        <w:spacing w:after="0" w:line="240" w:lineRule="auto"/>
      </w:pPr>
      <w:r>
        <w:separator/>
      </w:r>
    </w:p>
  </w:footnote>
  <w:footnote w:type="continuationSeparator" w:id="0">
    <w:p w14:paraId="52F6F7F4" w14:textId="77777777" w:rsidR="000B47EE" w:rsidRDefault="000B47EE"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0BE4A" w14:textId="77777777" w:rsidR="001C71C1" w:rsidRDefault="001C71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633248545"/>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14:paraId="6954C0D0" w14:textId="77777777" w:rsidR="000B47EE" w:rsidRPr="00D86DE4" w:rsidRDefault="000B47EE" w:rsidP="00D86DE4">
        <w:pPr>
          <w:pStyle w:val="VCAAcaptionsandfootnotes"/>
          <w:rPr>
            <w:color w:val="999999" w:themeColor="accent2"/>
          </w:rPr>
        </w:pPr>
        <w:r>
          <w:rPr>
            <w:b/>
            <w:color w:val="999999" w:themeColor="accent2"/>
            <w:lang w:val="en-AU"/>
          </w:rPr>
          <w:t>Numeracy Learning Progression – Multiplicative strategies – Foundation to Level 4 span</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4CD8D" w14:textId="3174E701" w:rsidR="000B47EE" w:rsidRPr="001D184E" w:rsidRDefault="000B47EE" w:rsidP="00A93CE3">
    <w:pPr>
      <w:pStyle w:val="VCAADocumenttitle"/>
      <w:spacing w:before="0" w:after="0"/>
      <w:ind w:left="2880" w:firstLine="720"/>
      <w:rPr>
        <w:sz w:val="44"/>
      </w:rPr>
    </w:pPr>
    <w:r>
      <w:drawing>
        <wp:anchor distT="0" distB="0" distL="114300" distR="114300" simplePos="0" relativeHeight="251658240" behindDoc="0" locked="0" layoutInCell="1" allowOverlap="1" wp14:anchorId="1D8A2C85" wp14:editId="58DA9A32">
          <wp:simplePos x="725214" y="430924"/>
          <wp:positionH relativeFrom="margin">
            <wp:align>right</wp:align>
          </wp:positionH>
          <wp:positionV relativeFrom="paragraph">
            <wp:posOffset>0</wp:posOffset>
          </wp:positionV>
          <wp:extent cx="1532890" cy="288290"/>
          <wp:effectExtent l="0" t="0" r="0" b="0"/>
          <wp:wrapNone/>
          <wp:docPr id="7" name="Picture 7" descr="&#10;The logo and registered trademark of the Victorian Curriculum and Assessment Authority" title="Victorian Curriculum and Assessment Author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cmyk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8858" cy="291482"/>
                  </a:xfrm>
                  <a:prstGeom prst="rect">
                    <a:avLst/>
                  </a:prstGeom>
                </pic:spPr>
              </pic:pic>
            </a:graphicData>
          </a:graphic>
          <wp14:sizeRelH relativeFrom="margin">
            <wp14:pctWidth>0</wp14:pctWidth>
          </wp14:sizeRelH>
          <wp14:sizeRelV relativeFrom="margin">
            <wp14:pctHeight>0</wp14:pctHeight>
          </wp14:sizeRelV>
        </wp:anchor>
      </w:drawing>
    </w:r>
    <w:r>
      <w:rPr>
        <w:color w:val="005D8B"/>
        <w:bdr w:val="none" w:sz="0" w:space="0" w:color="auto" w:frame="1"/>
      </w:rPr>
      <w:drawing>
        <wp:anchor distT="0" distB="0" distL="114300" distR="114300" simplePos="0" relativeHeight="251659264" behindDoc="0" locked="0" layoutInCell="1" allowOverlap="1" wp14:anchorId="555A4CA0" wp14:editId="043A7583">
          <wp:simplePos x="0" y="0"/>
          <wp:positionH relativeFrom="column">
            <wp:posOffset>3810</wp:posOffset>
          </wp:positionH>
          <wp:positionV relativeFrom="paragraph">
            <wp:posOffset>-5080</wp:posOffset>
          </wp:positionV>
          <wp:extent cx="2362200" cy="311150"/>
          <wp:effectExtent l="0" t="0" r="0" b="0"/>
          <wp:wrapSquare wrapText="bothSides"/>
          <wp:docPr id="8" name="Picture 8"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2" tooltip="&quot;Victorian Curriculum home&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sdt>
      <w:sdtPr>
        <w:rPr>
          <w:sz w:val="28"/>
          <w:szCs w:val="28"/>
        </w:rPr>
        <w:alias w:val="Title"/>
        <w:tag w:val=""/>
        <w:id w:val="546570036"/>
        <w:dataBinding w:prefixMappings="xmlns:ns0='http://purl.org/dc/elements/1.1/' xmlns:ns1='http://schemas.openxmlformats.org/package/2006/metadata/core-properties' " w:xpath="/ns1:coreProperties[1]/ns0:title[1]" w:storeItemID="{6C3C8BC8-F283-45AE-878A-BAB7291924A1}"/>
        <w:text/>
      </w:sdtPr>
      <w:sdtEndPr/>
      <w:sdtContent>
        <w:r w:rsidR="004E6246" w:rsidRPr="00427F69">
          <w:rPr>
            <w:sz w:val="28"/>
            <w:szCs w:val="28"/>
          </w:rPr>
          <w:t xml:space="preserve">Numeracy Learning Progression – Multiplicative strategies – </w:t>
        </w:r>
        <w:r w:rsidR="004E6246">
          <w:rPr>
            <w:sz w:val="28"/>
            <w:szCs w:val="28"/>
          </w:rPr>
          <w:t>Foundation to Level</w:t>
        </w:r>
        <w:r w:rsidR="004E6246" w:rsidRPr="00427F69">
          <w:rPr>
            <w:sz w:val="28"/>
            <w:szCs w:val="28"/>
          </w:rPr>
          <w:t xml:space="preserve"> 4 span</w:t>
        </w:r>
      </w:sdtContent>
    </w:sdt>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55212"/>
    <w:multiLevelType w:val="hybridMultilevel"/>
    <w:tmpl w:val="852671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55F500E"/>
    <w:multiLevelType w:val="hybridMultilevel"/>
    <w:tmpl w:val="190C39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4BC2304"/>
    <w:multiLevelType w:val="hybridMultilevel"/>
    <w:tmpl w:val="34748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29F559A"/>
    <w:multiLevelType w:val="hybridMultilevel"/>
    <w:tmpl w:val="16BED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DC21C9C"/>
    <w:multiLevelType w:val="hybridMultilevel"/>
    <w:tmpl w:val="64941B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nsid w:val="48034F24"/>
    <w:multiLevelType w:val="hybridMultilevel"/>
    <w:tmpl w:val="908CC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586570B9"/>
    <w:multiLevelType w:val="hybridMultilevel"/>
    <w:tmpl w:val="4D066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9281499"/>
    <w:multiLevelType w:val="hybridMultilevel"/>
    <w:tmpl w:val="E7BE1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6">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99214F"/>
    <w:multiLevelType w:val="hybridMultilevel"/>
    <w:tmpl w:val="C2D4C0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7724638B"/>
    <w:multiLevelType w:val="hybridMultilevel"/>
    <w:tmpl w:val="CC7C39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788C55CC"/>
    <w:multiLevelType w:val="hybridMultilevel"/>
    <w:tmpl w:val="8514CE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5"/>
  </w:num>
  <w:num w:numId="2">
    <w:abstractNumId w:val="10"/>
  </w:num>
  <w:num w:numId="3">
    <w:abstractNumId w:val="8"/>
  </w:num>
  <w:num w:numId="4">
    <w:abstractNumId w:val="4"/>
  </w:num>
  <w:num w:numId="5">
    <w:abstractNumId w:val="13"/>
  </w:num>
  <w:num w:numId="6">
    <w:abstractNumId w:val="0"/>
  </w:num>
  <w:num w:numId="7">
    <w:abstractNumId w:val="14"/>
  </w:num>
  <w:num w:numId="8">
    <w:abstractNumId w:val="16"/>
  </w:num>
  <w:num w:numId="9">
    <w:abstractNumId w:val="7"/>
  </w:num>
  <w:num w:numId="10">
    <w:abstractNumId w:val="11"/>
  </w:num>
  <w:num w:numId="11">
    <w:abstractNumId w:val="3"/>
  </w:num>
  <w:num w:numId="12">
    <w:abstractNumId w:val="5"/>
  </w:num>
  <w:num w:numId="13">
    <w:abstractNumId w:val="12"/>
  </w:num>
  <w:num w:numId="14">
    <w:abstractNumId w:val="17"/>
  </w:num>
  <w:num w:numId="15">
    <w:abstractNumId w:val="2"/>
  </w:num>
  <w:num w:numId="16">
    <w:abstractNumId w:val="9"/>
  </w:num>
  <w:num w:numId="17">
    <w:abstractNumId w:val="18"/>
  </w:num>
  <w:num w:numId="18">
    <w:abstractNumId w:val="19"/>
  </w:num>
  <w:num w:numId="19">
    <w:abstractNumId w:val="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mailMerge>
    <w:mainDocumentType w:val="formLetters"/>
    <w:dataType w:val="textFile"/>
    <w:activeRecord w:val="-1"/>
    <w:odso/>
  </w:mailMerge>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059DE"/>
    <w:rsid w:val="000217DA"/>
    <w:rsid w:val="00027228"/>
    <w:rsid w:val="00037D17"/>
    <w:rsid w:val="000577DC"/>
    <w:rsid w:val="0005780E"/>
    <w:rsid w:val="000A19FB"/>
    <w:rsid w:val="000A71F7"/>
    <w:rsid w:val="000B47EE"/>
    <w:rsid w:val="000B5B53"/>
    <w:rsid w:val="000B5CC5"/>
    <w:rsid w:val="000E4A92"/>
    <w:rsid w:val="000F09E4"/>
    <w:rsid w:val="000F16FD"/>
    <w:rsid w:val="00111C27"/>
    <w:rsid w:val="001209DB"/>
    <w:rsid w:val="0015344B"/>
    <w:rsid w:val="00156019"/>
    <w:rsid w:val="00164D7A"/>
    <w:rsid w:val="00172E14"/>
    <w:rsid w:val="00180973"/>
    <w:rsid w:val="001922BE"/>
    <w:rsid w:val="001A772A"/>
    <w:rsid w:val="001B535F"/>
    <w:rsid w:val="001B64E5"/>
    <w:rsid w:val="001C71C1"/>
    <w:rsid w:val="001C73C5"/>
    <w:rsid w:val="001D184E"/>
    <w:rsid w:val="001E5ED4"/>
    <w:rsid w:val="00216DA4"/>
    <w:rsid w:val="002233AF"/>
    <w:rsid w:val="002279BA"/>
    <w:rsid w:val="002329F3"/>
    <w:rsid w:val="00237C1A"/>
    <w:rsid w:val="00243F0D"/>
    <w:rsid w:val="00256DB1"/>
    <w:rsid w:val="002647BB"/>
    <w:rsid w:val="00264F9D"/>
    <w:rsid w:val="002654C5"/>
    <w:rsid w:val="00267736"/>
    <w:rsid w:val="002754C1"/>
    <w:rsid w:val="002841C8"/>
    <w:rsid w:val="0028516B"/>
    <w:rsid w:val="002B0247"/>
    <w:rsid w:val="002C6F90"/>
    <w:rsid w:val="002E48F7"/>
    <w:rsid w:val="002F2BC5"/>
    <w:rsid w:val="00302FB8"/>
    <w:rsid w:val="00304874"/>
    <w:rsid w:val="00304EA1"/>
    <w:rsid w:val="00314D81"/>
    <w:rsid w:val="00322FC6"/>
    <w:rsid w:val="003369B8"/>
    <w:rsid w:val="00372723"/>
    <w:rsid w:val="00391986"/>
    <w:rsid w:val="003946E4"/>
    <w:rsid w:val="003A3C3D"/>
    <w:rsid w:val="003C4419"/>
    <w:rsid w:val="003C44C2"/>
    <w:rsid w:val="003E412B"/>
    <w:rsid w:val="00400A2A"/>
    <w:rsid w:val="00416B45"/>
    <w:rsid w:val="00417AA3"/>
    <w:rsid w:val="004227FE"/>
    <w:rsid w:val="00427F69"/>
    <w:rsid w:val="00440B32"/>
    <w:rsid w:val="00455A1A"/>
    <w:rsid w:val="0046078D"/>
    <w:rsid w:val="004754A7"/>
    <w:rsid w:val="004A2ED8"/>
    <w:rsid w:val="004D7466"/>
    <w:rsid w:val="004E469F"/>
    <w:rsid w:val="004E6246"/>
    <w:rsid w:val="004F219A"/>
    <w:rsid w:val="004F5BDA"/>
    <w:rsid w:val="004F6A73"/>
    <w:rsid w:val="00505889"/>
    <w:rsid w:val="0051382C"/>
    <w:rsid w:val="0051631E"/>
    <w:rsid w:val="00517861"/>
    <w:rsid w:val="00526666"/>
    <w:rsid w:val="00566029"/>
    <w:rsid w:val="005923CB"/>
    <w:rsid w:val="005942A0"/>
    <w:rsid w:val="005B391B"/>
    <w:rsid w:val="005D3D78"/>
    <w:rsid w:val="005D6671"/>
    <w:rsid w:val="005E2EF0"/>
    <w:rsid w:val="00607D1F"/>
    <w:rsid w:val="00612D18"/>
    <w:rsid w:val="006207A6"/>
    <w:rsid w:val="00635C51"/>
    <w:rsid w:val="00636604"/>
    <w:rsid w:val="00662A5F"/>
    <w:rsid w:val="00671D4D"/>
    <w:rsid w:val="00693FFD"/>
    <w:rsid w:val="006C0696"/>
    <w:rsid w:val="006D08F8"/>
    <w:rsid w:val="006D2159"/>
    <w:rsid w:val="006E0642"/>
    <w:rsid w:val="006F787C"/>
    <w:rsid w:val="00702636"/>
    <w:rsid w:val="007157CE"/>
    <w:rsid w:val="00724507"/>
    <w:rsid w:val="0074078C"/>
    <w:rsid w:val="00751217"/>
    <w:rsid w:val="00752E46"/>
    <w:rsid w:val="0076106A"/>
    <w:rsid w:val="00773E6C"/>
    <w:rsid w:val="00791393"/>
    <w:rsid w:val="007A6FCF"/>
    <w:rsid w:val="007B186E"/>
    <w:rsid w:val="00806F44"/>
    <w:rsid w:val="00813C37"/>
    <w:rsid w:val="008154B5"/>
    <w:rsid w:val="00823962"/>
    <w:rsid w:val="00832F5C"/>
    <w:rsid w:val="0083494B"/>
    <w:rsid w:val="00852719"/>
    <w:rsid w:val="00860115"/>
    <w:rsid w:val="00867E82"/>
    <w:rsid w:val="00871D52"/>
    <w:rsid w:val="00874F03"/>
    <w:rsid w:val="0088783C"/>
    <w:rsid w:val="0092704D"/>
    <w:rsid w:val="00934256"/>
    <w:rsid w:val="009370BC"/>
    <w:rsid w:val="0098739B"/>
    <w:rsid w:val="009939E5"/>
    <w:rsid w:val="00A01F73"/>
    <w:rsid w:val="00A17661"/>
    <w:rsid w:val="00A24B2D"/>
    <w:rsid w:val="00A25A85"/>
    <w:rsid w:val="00A30AF1"/>
    <w:rsid w:val="00A328EE"/>
    <w:rsid w:val="00A35382"/>
    <w:rsid w:val="00A359D5"/>
    <w:rsid w:val="00A40966"/>
    <w:rsid w:val="00A51560"/>
    <w:rsid w:val="00A51A62"/>
    <w:rsid w:val="00A87CDE"/>
    <w:rsid w:val="00A921E0"/>
    <w:rsid w:val="00A932AF"/>
    <w:rsid w:val="00A93CE3"/>
    <w:rsid w:val="00AA2350"/>
    <w:rsid w:val="00AC090B"/>
    <w:rsid w:val="00AD6605"/>
    <w:rsid w:val="00AF5590"/>
    <w:rsid w:val="00B0738F"/>
    <w:rsid w:val="00B26601"/>
    <w:rsid w:val="00B30DB8"/>
    <w:rsid w:val="00B3356D"/>
    <w:rsid w:val="00B40C84"/>
    <w:rsid w:val="00B41951"/>
    <w:rsid w:val="00B53229"/>
    <w:rsid w:val="00B62480"/>
    <w:rsid w:val="00B67596"/>
    <w:rsid w:val="00B71CE9"/>
    <w:rsid w:val="00B81B70"/>
    <w:rsid w:val="00B912B5"/>
    <w:rsid w:val="00BB6558"/>
    <w:rsid w:val="00BD0724"/>
    <w:rsid w:val="00BD78F6"/>
    <w:rsid w:val="00BE5521"/>
    <w:rsid w:val="00BF0AB2"/>
    <w:rsid w:val="00C53263"/>
    <w:rsid w:val="00C5379C"/>
    <w:rsid w:val="00C61C3D"/>
    <w:rsid w:val="00C75F1D"/>
    <w:rsid w:val="00C94A8B"/>
    <w:rsid w:val="00CA0F3D"/>
    <w:rsid w:val="00CC151E"/>
    <w:rsid w:val="00CC1EDB"/>
    <w:rsid w:val="00CE2F1A"/>
    <w:rsid w:val="00D338E4"/>
    <w:rsid w:val="00D43FD6"/>
    <w:rsid w:val="00D468D5"/>
    <w:rsid w:val="00D51947"/>
    <w:rsid w:val="00D532F0"/>
    <w:rsid w:val="00D64C15"/>
    <w:rsid w:val="00D73E77"/>
    <w:rsid w:val="00D77413"/>
    <w:rsid w:val="00D82759"/>
    <w:rsid w:val="00D86DE4"/>
    <w:rsid w:val="00D872B1"/>
    <w:rsid w:val="00DB2762"/>
    <w:rsid w:val="00DB4A1E"/>
    <w:rsid w:val="00DC21C3"/>
    <w:rsid w:val="00DF7663"/>
    <w:rsid w:val="00E10BA6"/>
    <w:rsid w:val="00E23F1D"/>
    <w:rsid w:val="00E26732"/>
    <w:rsid w:val="00E36361"/>
    <w:rsid w:val="00E5482F"/>
    <w:rsid w:val="00E548A3"/>
    <w:rsid w:val="00E55AE9"/>
    <w:rsid w:val="00E66CEA"/>
    <w:rsid w:val="00EA51FB"/>
    <w:rsid w:val="00EB044D"/>
    <w:rsid w:val="00EF6D8E"/>
    <w:rsid w:val="00F000A0"/>
    <w:rsid w:val="00F02482"/>
    <w:rsid w:val="00F0309B"/>
    <w:rsid w:val="00F158E5"/>
    <w:rsid w:val="00F40D53"/>
    <w:rsid w:val="00F4525C"/>
    <w:rsid w:val="00F835B3"/>
    <w:rsid w:val="00F94CC9"/>
    <w:rsid w:val="00F97203"/>
    <w:rsid w:val="00FB2493"/>
    <w:rsid w:val="00FC43AF"/>
    <w:rsid w:val="00FC5E6B"/>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23F45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2677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link w:val="VCAAbodyChar"/>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character" w:customStyle="1" w:styleId="VCAAbodyChar">
    <w:name w:val="VCAA body Char"/>
    <w:basedOn w:val="DefaultParagraphFont"/>
    <w:link w:val="VCAAbody"/>
    <w:rsid w:val="00267736"/>
    <w:rPr>
      <w:rFonts w:ascii="Arial" w:hAnsi="Arial" w:cs="Arial"/>
      <w:color w:val="000000" w:themeColor="text1"/>
    </w:rPr>
  </w:style>
  <w:style w:type="paragraph" w:customStyle="1" w:styleId="Default">
    <w:name w:val="Default"/>
    <w:rsid w:val="00267736"/>
    <w:pPr>
      <w:autoSpaceDE w:val="0"/>
      <w:autoSpaceDN w:val="0"/>
      <w:adjustRightInd w:val="0"/>
      <w:spacing w:after="0" w:line="240" w:lineRule="auto"/>
    </w:pPr>
    <w:rPr>
      <w:rFonts w:ascii="Arial" w:hAnsi="Arial" w:cs="Arial"/>
      <w:color w:val="000000"/>
      <w:sz w:val="24"/>
      <w:szCs w:val="24"/>
      <w:lang w:val="en-AU"/>
    </w:rPr>
  </w:style>
  <w:style w:type="paragraph" w:styleId="ListParagraph">
    <w:name w:val="List Paragraph"/>
    <w:basedOn w:val="Normal"/>
    <w:uiPriority w:val="34"/>
    <w:semiHidden/>
    <w:qFormat/>
    <w:rsid w:val="003C44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2677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link w:val="VCAAbodyChar"/>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character" w:customStyle="1" w:styleId="VCAAbodyChar">
    <w:name w:val="VCAA body Char"/>
    <w:basedOn w:val="DefaultParagraphFont"/>
    <w:link w:val="VCAAbody"/>
    <w:rsid w:val="00267736"/>
    <w:rPr>
      <w:rFonts w:ascii="Arial" w:hAnsi="Arial" w:cs="Arial"/>
      <w:color w:val="000000" w:themeColor="text1"/>
    </w:rPr>
  </w:style>
  <w:style w:type="paragraph" w:customStyle="1" w:styleId="Default">
    <w:name w:val="Default"/>
    <w:rsid w:val="00267736"/>
    <w:pPr>
      <w:autoSpaceDE w:val="0"/>
      <w:autoSpaceDN w:val="0"/>
      <w:adjustRightInd w:val="0"/>
      <w:spacing w:after="0" w:line="240" w:lineRule="auto"/>
    </w:pPr>
    <w:rPr>
      <w:rFonts w:ascii="Arial" w:hAnsi="Arial" w:cs="Arial"/>
      <w:color w:val="000000"/>
      <w:sz w:val="24"/>
      <w:szCs w:val="24"/>
      <w:lang w:val="en-AU"/>
    </w:rPr>
  </w:style>
  <w:style w:type="paragraph" w:styleId="ListParagraph">
    <w:name w:val="List Paragraph"/>
    <w:basedOn w:val="Normal"/>
    <w:uiPriority w:val="34"/>
    <w:semiHidden/>
    <w:qFormat/>
    <w:rsid w:val="003C44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2827693">
      <w:bodyDiv w:val="1"/>
      <w:marLeft w:val="0"/>
      <w:marRight w:val="0"/>
      <w:marTop w:val="0"/>
      <w:marBottom w:val="0"/>
      <w:divBdr>
        <w:top w:val="none" w:sz="0" w:space="0" w:color="auto"/>
        <w:left w:val="none" w:sz="0" w:space="0" w:color="auto"/>
        <w:bottom w:val="none" w:sz="0" w:space="0" w:color="auto"/>
        <w:right w:val="none" w:sz="0" w:space="0" w:color="auto"/>
      </w:divBdr>
      <w:divsChild>
        <w:div w:id="2016149765">
          <w:marLeft w:val="0"/>
          <w:marRight w:val="0"/>
          <w:marTop w:val="0"/>
          <w:marBottom w:val="0"/>
          <w:divBdr>
            <w:top w:val="none" w:sz="0" w:space="0" w:color="auto"/>
            <w:left w:val="none" w:sz="0" w:space="0" w:color="auto"/>
            <w:bottom w:val="none" w:sz="0" w:space="0" w:color="auto"/>
            <w:right w:val="none" w:sz="0" w:space="0" w:color="auto"/>
          </w:divBdr>
          <w:divsChild>
            <w:div w:id="1166165413">
              <w:marLeft w:val="0"/>
              <w:marRight w:val="0"/>
              <w:marTop w:val="0"/>
              <w:marBottom w:val="0"/>
              <w:divBdr>
                <w:top w:val="none" w:sz="0" w:space="0" w:color="auto"/>
                <w:left w:val="none" w:sz="0" w:space="0" w:color="auto"/>
                <w:bottom w:val="none" w:sz="0" w:space="0" w:color="auto"/>
                <w:right w:val="none" w:sz="0" w:space="0" w:color="auto"/>
              </w:divBdr>
              <w:divsChild>
                <w:div w:id="1651707740">
                  <w:marLeft w:val="0"/>
                  <w:marRight w:val="0"/>
                  <w:marTop w:val="0"/>
                  <w:marBottom w:val="0"/>
                  <w:divBdr>
                    <w:top w:val="none" w:sz="0" w:space="0" w:color="auto"/>
                    <w:left w:val="none" w:sz="0" w:space="0" w:color="auto"/>
                    <w:bottom w:val="none" w:sz="0" w:space="0" w:color="auto"/>
                    <w:right w:val="none" w:sz="0" w:space="0" w:color="auto"/>
                  </w:divBdr>
                  <w:divsChild>
                    <w:div w:id="1665742621">
                      <w:marLeft w:val="120"/>
                      <w:marRight w:val="120"/>
                      <w:marTop w:val="0"/>
                      <w:marBottom w:val="0"/>
                      <w:divBdr>
                        <w:top w:val="none" w:sz="0" w:space="0" w:color="auto"/>
                        <w:left w:val="none" w:sz="0" w:space="0" w:color="auto"/>
                        <w:bottom w:val="none" w:sz="0" w:space="0" w:color="auto"/>
                        <w:right w:val="none" w:sz="0" w:space="0" w:color="auto"/>
                      </w:divBdr>
                      <w:divsChild>
                        <w:div w:id="116603697">
                          <w:marLeft w:val="0"/>
                          <w:marRight w:val="0"/>
                          <w:marTop w:val="0"/>
                          <w:marBottom w:val="0"/>
                          <w:divBdr>
                            <w:top w:val="none" w:sz="0" w:space="0" w:color="auto"/>
                            <w:left w:val="none" w:sz="0" w:space="0" w:color="auto"/>
                            <w:bottom w:val="none" w:sz="0" w:space="0" w:color="auto"/>
                            <w:right w:val="none" w:sz="0" w:space="0" w:color="auto"/>
                          </w:divBdr>
                          <w:divsChild>
                            <w:div w:id="1540123739">
                              <w:marLeft w:val="0"/>
                              <w:marRight w:val="0"/>
                              <w:marTop w:val="0"/>
                              <w:marBottom w:val="0"/>
                              <w:divBdr>
                                <w:top w:val="none" w:sz="0" w:space="0" w:color="auto"/>
                                <w:left w:val="none" w:sz="0" w:space="0" w:color="auto"/>
                                <w:bottom w:val="none" w:sz="0" w:space="0" w:color="auto"/>
                                <w:right w:val="none" w:sz="0" w:space="0" w:color="auto"/>
                              </w:divBdr>
                              <w:divsChild>
                                <w:div w:id="1265069469">
                                  <w:marLeft w:val="0"/>
                                  <w:marRight w:val="0"/>
                                  <w:marTop w:val="0"/>
                                  <w:marBottom w:val="0"/>
                                  <w:divBdr>
                                    <w:top w:val="none" w:sz="0" w:space="0" w:color="auto"/>
                                    <w:left w:val="none" w:sz="0" w:space="0" w:color="auto"/>
                                    <w:bottom w:val="none" w:sz="0" w:space="0" w:color="auto"/>
                                    <w:right w:val="none" w:sz="0" w:space="0" w:color="auto"/>
                                  </w:divBdr>
                                  <w:divsChild>
                                    <w:div w:id="1988853350">
                                      <w:marLeft w:val="0"/>
                                      <w:marRight w:val="0"/>
                                      <w:marTop w:val="0"/>
                                      <w:marBottom w:val="0"/>
                                      <w:divBdr>
                                        <w:top w:val="none" w:sz="0" w:space="0" w:color="auto"/>
                                        <w:left w:val="none" w:sz="0" w:space="0" w:color="auto"/>
                                        <w:bottom w:val="none" w:sz="0" w:space="0" w:color="auto"/>
                                        <w:right w:val="none" w:sz="0" w:space="0" w:color="auto"/>
                                      </w:divBdr>
                                      <w:divsChild>
                                        <w:div w:id="2071925511">
                                          <w:marLeft w:val="0"/>
                                          <w:marRight w:val="0"/>
                                          <w:marTop w:val="0"/>
                                          <w:marBottom w:val="0"/>
                                          <w:divBdr>
                                            <w:top w:val="none" w:sz="0" w:space="0" w:color="auto"/>
                                            <w:left w:val="none" w:sz="0" w:space="0" w:color="auto"/>
                                            <w:bottom w:val="none" w:sz="0" w:space="0" w:color="auto"/>
                                            <w:right w:val="none" w:sz="0" w:space="0" w:color="auto"/>
                                          </w:divBdr>
                                          <w:divsChild>
                                            <w:div w:id="19661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3144">
      <w:bodyDiv w:val="1"/>
      <w:marLeft w:val="0"/>
      <w:marRight w:val="0"/>
      <w:marTop w:val="0"/>
      <w:marBottom w:val="0"/>
      <w:divBdr>
        <w:top w:val="none" w:sz="0" w:space="0" w:color="auto"/>
        <w:left w:val="none" w:sz="0" w:space="0" w:color="auto"/>
        <w:bottom w:val="none" w:sz="0" w:space="0" w:color="auto"/>
        <w:right w:val="none" w:sz="0" w:space="0" w:color="auto"/>
      </w:divBdr>
      <w:divsChild>
        <w:div w:id="712077755">
          <w:marLeft w:val="0"/>
          <w:marRight w:val="0"/>
          <w:marTop w:val="0"/>
          <w:marBottom w:val="0"/>
          <w:divBdr>
            <w:top w:val="none" w:sz="0" w:space="0" w:color="auto"/>
            <w:left w:val="none" w:sz="0" w:space="0" w:color="auto"/>
            <w:bottom w:val="none" w:sz="0" w:space="0" w:color="auto"/>
            <w:right w:val="none" w:sz="0" w:space="0" w:color="auto"/>
          </w:divBdr>
          <w:divsChild>
            <w:div w:id="413170394">
              <w:marLeft w:val="0"/>
              <w:marRight w:val="0"/>
              <w:marTop w:val="0"/>
              <w:marBottom w:val="0"/>
              <w:divBdr>
                <w:top w:val="none" w:sz="0" w:space="0" w:color="auto"/>
                <w:left w:val="none" w:sz="0" w:space="0" w:color="auto"/>
                <w:bottom w:val="none" w:sz="0" w:space="0" w:color="auto"/>
                <w:right w:val="none" w:sz="0" w:space="0" w:color="auto"/>
              </w:divBdr>
              <w:divsChild>
                <w:div w:id="1501580697">
                  <w:marLeft w:val="0"/>
                  <w:marRight w:val="0"/>
                  <w:marTop w:val="0"/>
                  <w:marBottom w:val="0"/>
                  <w:divBdr>
                    <w:top w:val="none" w:sz="0" w:space="0" w:color="auto"/>
                    <w:left w:val="none" w:sz="0" w:space="0" w:color="auto"/>
                    <w:bottom w:val="none" w:sz="0" w:space="0" w:color="auto"/>
                    <w:right w:val="none" w:sz="0" w:space="0" w:color="auto"/>
                  </w:divBdr>
                  <w:divsChild>
                    <w:div w:id="1771123818">
                      <w:marLeft w:val="120"/>
                      <w:marRight w:val="120"/>
                      <w:marTop w:val="0"/>
                      <w:marBottom w:val="0"/>
                      <w:divBdr>
                        <w:top w:val="none" w:sz="0" w:space="0" w:color="auto"/>
                        <w:left w:val="none" w:sz="0" w:space="0" w:color="auto"/>
                        <w:bottom w:val="none" w:sz="0" w:space="0" w:color="auto"/>
                        <w:right w:val="none" w:sz="0" w:space="0" w:color="auto"/>
                      </w:divBdr>
                      <w:divsChild>
                        <w:div w:id="350304019">
                          <w:marLeft w:val="0"/>
                          <w:marRight w:val="0"/>
                          <w:marTop w:val="0"/>
                          <w:marBottom w:val="0"/>
                          <w:divBdr>
                            <w:top w:val="none" w:sz="0" w:space="0" w:color="auto"/>
                            <w:left w:val="none" w:sz="0" w:space="0" w:color="auto"/>
                            <w:bottom w:val="none" w:sz="0" w:space="0" w:color="auto"/>
                            <w:right w:val="none" w:sz="0" w:space="0" w:color="auto"/>
                          </w:divBdr>
                          <w:divsChild>
                            <w:div w:id="865368560">
                              <w:marLeft w:val="0"/>
                              <w:marRight w:val="0"/>
                              <w:marTop w:val="0"/>
                              <w:marBottom w:val="0"/>
                              <w:divBdr>
                                <w:top w:val="none" w:sz="0" w:space="0" w:color="auto"/>
                                <w:left w:val="none" w:sz="0" w:space="0" w:color="auto"/>
                                <w:bottom w:val="none" w:sz="0" w:space="0" w:color="auto"/>
                                <w:right w:val="none" w:sz="0" w:space="0" w:color="auto"/>
                              </w:divBdr>
                              <w:divsChild>
                                <w:div w:id="1144858027">
                                  <w:marLeft w:val="0"/>
                                  <w:marRight w:val="0"/>
                                  <w:marTop w:val="0"/>
                                  <w:marBottom w:val="0"/>
                                  <w:divBdr>
                                    <w:top w:val="none" w:sz="0" w:space="0" w:color="auto"/>
                                    <w:left w:val="none" w:sz="0" w:space="0" w:color="auto"/>
                                    <w:bottom w:val="none" w:sz="0" w:space="0" w:color="auto"/>
                                    <w:right w:val="none" w:sz="0" w:space="0" w:color="auto"/>
                                  </w:divBdr>
                                  <w:divsChild>
                                    <w:div w:id="21592511">
                                      <w:marLeft w:val="0"/>
                                      <w:marRight w:val="0"/>
                                      <w:marTop w:val="0"/>
                                      <w:marBottom w:val="0"/>
                                      <w:divBdr>
                                        <w:top w:val="none" w:sz="0" w:space="0" w:color="auto"/>
                                        <w:left w:val="none" w:sz="0" w:space="0" w:color="auto"/>
                                        <w:bottom w:val="none" w:sz="0" w:space="0" w:color="auto"/>
                                        <w:right w:val="none" w:sz="0" w:space="0" w:color="auto"/>
                                      </w:divBdr>
                                      <w:divsChild>
                                        <w:div w:id="1724908160">
                                          <w:marLeft w:val="0"/>
                                          <w:marRight w:val="0"/>
                                          <w:marTop w:val="0"/>
                                          <w:marBottom w:val="0"/>
                                          <w:divBdr>
                                            <w:top w:val="none" w:sz="0" w:space="0" w:color="auto"/>
                                            <w:left w:val="none" w:sz="0" w:space="0" w:color="auto"/>
                                            <w:bottom w:val="none" w:sz="0" w:space="0" w:color="auto"/>
                                            <w:right w:val="none" w:sz="0" w:space="0" w:color="auto"/>
                                          </w:divBdr>
                                          <w:divsChild>
                                            <w:div w:id="10059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6705995">
      <w:bodyDiv w:val="1"/>
      <w:marLeft w:val="0"/>
      <w:marRight w:val="0"/>
      <w:marTop w:val="0"/>
      <w:marBottom w:val="0"/>
      <w:divBdr>
        <w:top w:val="none" w:sz="0" w:space="0" w:color="auto"/>
        <w:left w:val="none" w:sz="0" w:space="0" w:color="auto"/>
        <w:bottom w:val="none" w:sz="0" w:space="0" w:color="auto"/>
        <w:right w:val="none" w:sz="0" w:space="0" w:color="auto"/>
      </w:divBdr>
    </w:div>
    <w:div w:id="1209491854">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6022717">
      <w:bodyDiv w:val="1"/>
      <w:marLeft w:val="0"/>
      <w:marRight w:val="0"/>
      <w:marTop w:val="0"/>
      <w:marBottom w:val="0"/>
      <w:divBdr>
        <w:top w:val="none" w:sz="0" w:space="0" w:color="auto"/>
        <w:left w:val="none" w:sz="0" w:space="0" w:color="auto"/>
        <w:bottom w:val="none" w:sz="0" w:space="0" w:color="auto"/>
        <w:right w:val="none" w:sz="0" w:space="0" w:color="auto"/>
      </w:divBdr>
      <w:divsChild>
        <w:div w:id="708602696">
          <w:marLeft w:val="0"/>
          <w:marRight w:val="0"/>
          <w:marTop w:val="0"/>
          <w:marBottom w:val="0"/>
          <w:divBdr>
            <w:top w:val="none" w:sz="0" w:space="0" w:color="auto"/>
            <w:left w:val="none" w:sz="0" w:space="0" w:color="auto"/>
            <w:bottom w:val="none" w:sz="0" w:space="0" w:color="auto"/>
            <w:right w:val="none" w:sz="0" w:space="0" w:color="auto"/>
          </w:divBdr>
          <w:divsChild>
            <w:div w:id="950362213">
              <w:marLeft w:val="0"/>
              <w:marRight w:val="0"/>
              <w:marTop w:val="0"/>
              <w:marBottom w:val="0"/>
              <w:divBdr>
                <w:top w:val="none" w:sz="0" w:space="0" w:color="auto"/>
                <w:left w:val="none" w:sz="0" w:space="0" w:color="auto"/>
                <w:bottom w:val="none" w:sz="0" w:space="0" w:color="auto"/>
                <w:right w:val="none" w:sz="0" w:space="0" w:color="auto"/>
              </w:divBdr>
              <w:divsChild>
                <w:div w:id="2121100097">
                  <w:marLeft w:val="0"/>
                  <w:marRight w:val="0"/>
                  <w:marTop w:val="0"/>
                  <w:marBottom w:val="0"/>
                  <w:divBdr>
                    <w:top w:val="none" w:sz="0" w:space="0" w:color="auto"/>
                    <w:left w:val="none" w:sz="0" w:space="0" w:color="auto"/>
                    <w:bottom w:val="none" w:sz="0" w:space="0" w:color="auto"/>
                    <w:right w:val="none" w:sz="0" w:space="0" w:color="auto"/>
                  </w:divBdr>
                  <w:divsChild>
                    <w:div w:id="1267274259">
                      <w:marLeft w:val="120"/>
                      <w:marRight w:val="120"/>
                      <w:marTop w:val="0"/>
                      <w:marBottom w:val="0"/>
                      <w:divBdr>
                        <w:top w:val="none" w:sz="0" w:space="0" w:color="auto"/>
                        <w:left w:val="none" w:sz="0" w:space="0" w:color="auto"/>
                        <w:bottom w:val="none" w:sz="0" w:space="0" w:color="auto"/>
                        <w:right w:val="none" w:sz="0" w:space="0" w:color="auto"/>
                      </w:divBdr>
                      <w:divsChild>
                        <w:div w:id="1697073759">
                          <w:marLeft w:val="0"/>
                          <w:marRight w:val="0"/>
                          <w:marTop w:val="0"/>
                          <w:marBottom w:val="0"/>
                          <w:divBdr>
                            <w:top w:val="none" w:sz="0" w:space="0" w:color="auto"/>
                            <w:left w:val="none" w:sz="0" w:space="0" w:color="auto"/>
                            <w:bottom w:val="none" w:sz="0" w:space="0" w:color="auto"/>
                            <w:right w:val="none" w:sz="0" w:space="0" w:color="auto"/>
                          </w:divBdr>
                          <w:divsChild>
                            <w:div w:id="1146313483">
                              <w:marLeft w:val="0"/>
                              <w:marRight w:val="0"/>
                              <w:marTop w:val="0"/>
                              <w:marBottom w:val="0"/>
                              <w:divBdr>
                                <w:top w:val="none" w:sz="0" w:space="0" w:color="auto"/>
                                <w:left w:val="none" w:sz="0" w:space="0" w:color="auto"/>
                                <w:bottom w:val="none" w:sz="0" w:space="0" w:color="auto"/>
                                <w:right w:val="none" w:sz="0" w:space="0" w:color="auto"/>
                              </w:divBdr>
                              <w:divsChild>
                                <w:div w:id="931864179">
                                  <w:marLeft w:val="0"/>
                                  <w:marRight w:val="0"/>
                                  <w:marTop w:val="0"/>
                                  <w:marBottom w:val="0"/>
                                  <w:divBdr>
                                    <w:top w:val="none" w:sz="0" w:space="0" w:color="auto"/>
                                    <w:left w:val="none" w:sz="0" w:space="0" w:color="auto"/>
                                    <w:bottom w:val="none" w:sz="0" w:space="0" w:color="auto"/>
                                    <w:right w:val="none" w:sz="0" w:space="0" w:color="auto"/>
                                  </w:divBdr>
                                  <w:divsChild>
                                    <w:div w:id="1634096569">
                                      <w:marLeft w:val="0"/>
                                      <w:marRight w:val="0"/>
                                      <w:marTop w:val="0"/>
                                      <w:marBottom w:val="0"/>
                                      <w:divBdr>
                                        <w:top w:val="none" w:sz="0" w:space="0" w:color="auto"/>
                                        <w:left w:val="none" w:sz="0" w:space="0" w:color="auto"/>
                                        <w:bottom w:val="none" w:sz="0" w:space="0" w:color="auto"/>
                                        <w:right w:val="none" w:sz="0" w:space="0" w:color="auto"/>
                                      </w:divBdr>
                                      <w:divsChild>
                                        <w:div w:id="777264042">
                                          <w:marLeft w:val="0"/>
                                          <w:marRight w:val="0"/>
                                          <w:marTop w:val="0"/>
                                          <w:marBottom w:val="0"/>
                                          <w:divBdr>
                                            <w:top w:val="none" w:sz="0" w:space="0" w:color="auto"/>
                                            <w:left w:val="none" w:sz="0" w:space="0" w:color="auto"/>
                                            <w:bottom w:val="none" w:sz="0" w:space="0" w:color="auto"/>
                                            <w:right w:val="none" w:sz="0" w:space="0" w:color="auto"/>
                                          </w:divBdr>
                                          <w:divsChild>
                                            <w:div w:id="4583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154492">
      <w:bodyDiv w:val="1"/>
      <w:marLeft w:val="0"/>
      <w:marRight w:val="0"/>
      <w:marTop w:val="0"/>
      <w:marBottom w:val="0"/>
      <w:divBdr>
        <w:top w:val="none" w:sz="0" w:space="0" w:color="auto"/>
        <w:left w:val="none" w:sz="0" w:space="0" w:color="auto"/>
        <w:bottom w:val="none" w:sz="0" w:space="0" w:color="auto"/>
        <w:right w:val="none" w:sz="0" w:space="0" w:color="auto"/>
      </w:divBdr>
      <w:divsChild>
        <w:div w:id="1528787158">
          <w:marLeft w:val="0"/>
          <w:marRight w:val="0"/>
          <w:marTop w:val="0"/>
          <w:marBottom w:val="0"/>
          <w:divBdr>
            <w:top w:val="none" w:sz="0" w:space="0" w:color="auto"/>
            <w:left w:val="none" w:sz="0" w:space="0" w:color="auto"/>
            <w:bottom w:val="none" w:sz="0" w:space="0" w:color="auto"/>
            <w:right w:val="none" w:sz="0" w:space="0" w:color="auto"/>
          </w:divBdr>
          <w:divsChild>
            <w:div w:id="1005282303">
              <w:marLeft w:val="0"/>
              <w:marRight w:val="0"/>
              <w:marTop w:val="0"/>
              <w:marBottom w:val="0"/>
              <w:divBdr>
                <w:top w:val="none" w:sz="0" w:space="0" w:color="auto"/>
                <w:left w:val="none" w:sz="0" w:space="0" w:color="auto"/>
                <w:bottom w:val="none" w:sz="0" w:space="0" w:color="auto"/>
                <w:right w:val="none" w:sz="0" w:space="0" w:color="auto"/>
              </w:divBdr>
              <w:divsChild>
                <w:div w:id="1178078424">
                  <w:marLeft w:val="0"/>
                  <w:marRight w:val="0"/>
                  <w:marTop w:val="0"/>
                  <w:marBottom w:val="0"/>
                  <w:divBdr>
                    <w:top w:val="none" w:sz="0" w:space="0" w:color="auto"/>
                    <w:left w:val="none" w:sz="0" w:space="0" w:color="auto"/>
                    <w:bottom w:val="none" w:sz="0" w:space="0" w:color="auto"/>
                    <w:right w:val="none" w:sz="0" w:space="0" w:color="auto"/>
                  </w:divBdr>
                  <w:divsChild>
                    <w:div w:id="2095927450">
                      <w:marLeft w:val="120"/>
                      <w:marRight w:val="120"/>
                      <w:marTop w:val="0"/>
                      <w:marBottom w:val="0"/>
                      <w:divBdr>
                        <w:top w:val="none" w:sz="0" w:space="0" w:color="auto"/>
                        <w:left w:val="none" w:sz="0" w:space="0" w:color="auto"/>
                        <w:bottom w:val="none" w:sz="0" w:space="0" w:color="auto"/>
                        <w:right w:val="none" w:sz="0" w:space="0" w:color="auto"/>
                      </w:divBdr>
                      <w:divsChild>
                        <w:div w:id="2051757649">
                          <w:marLeft w:val="0"/>
                          <w:marRight w:val="0"/>
                          <w:marTop w:val="0"/>
                          <w:marBottom w:val="0"/>
                          <w:divBdr>
                            <w:top w:val="none" w:sz="0" w:space="0" w:color="auto"/>
                            <w:left w:val="none" w:sz="0" w:space="0" w:color="auto"/>
                            <w:bottom w:val="none" w:sz="0" w:space="0" w:color="auto"/>
                            <w:right w:val="none" w:sz="0" w:space="0" w:color="auto"/>
                          </w:divBdr>
                          <w:divsChild>
                            <w:div w:id="706292505">
                              <w:marLeft w:val="0"/>
                              <w:marRight w:val="0"/>
                              <w:marTop w:val="0"/>
                              <w:marBottom w:val="0"/>
                              <w:divBdr>
                                <w:top w:val="none" w:sz="0" w:space="0" w:color="auto"/>
                                <w:left w:val="none" w:sz="0" w:space="0" w:color="auto"/>
                                <w:bottom w:val="none" w:sz="0" w:space="0" w:color="auto"/>
                                <w:right w:val="none" w:sz="0" w:space="0" w:color="auto"/>
                              </w:divBdr>
                              <w:divsChild>
                                <w:div w:id="1738745136">
                                  <w:marLeft w:val="0"/>
                                  <w:marRight w:val="0"/>
                                  <w:marTop w:val="0"/>
                                  <w:marBottom w:val="0"/>
                                  <w:divBdr>
                                    <w:top w:val="none" w:sz="0" w:space="0" w:color="auto"/>
                                    <w:left w:val="none" w:sz="0" w:space="0" w:color="auto"/>
                                    <w:bottom w:val="none" w:sz="0" w:space="0" w:color="auto"/>
                                    <w:right w:val="none" w:sz="0" w:space="0" w:color="auto"/>
                                  </w:divBdr>
                                  <w:divsChild>
                                    <w:div w:id="2112627163">
                                      <w:marLeft w:val="0"/>
                                      <w:marRight w:val="0"/>
                                      <w:marTop w:val="0"/>
                                      <w:marBottom w:val="0"/>
                                      <w:divBdr>
                                        <w:top w:val="none" w:sz="0" w:space="0" w:color="auto"/>
                                        <w:left w:val="none" w:sz="0" w:space="0" w:color="auto"/>
                                        <w:bottom w:val="none" w:sz="0" w:space="0" w:color="auto"/>
                                        <w:right w:val="none" w:sz="0" w:space="0" w:color="auto"/>
                                      </w:divBdr>
                                      <w:divsChild>
                                        <w:div w:id="631057237">
                                          <w:marLeft w:val="0"/>
                                          <w:marRight w:val="0"/>
                                          <w:marTop w:val="0"/>
                                          <w:marBottom w:val="0"/>
                                          <w:divBdr>
                                            <w:top w:val="none" w:sz="0" w:space="0" w:color="auto"/>
                                            <w:left w:val="none" w:sz="0" w:space="0" w:color="auto"/>
                                            <w:bottom w:val="none" w:sz="0" w:space="0" w:color="auto"/>
                                            <w:right w:val="none" w:sz="0" w:space="0" w:color="auto"/>
                                          </w:divBdr>
                                          <w:divsChild>
                                            <w:div w:id="208791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6029823">
      <w:bodyDiv w:val="1"/>
      <w:marLeft w:val="0"/>
      <w:marRight w:val="0"/>
      <w:marTop w:val="0"/>
      <w:marBottom w:val="0"/>
      <w:divBdr>
        <w:top w:val="none" w:sz="0" w:space="0" w:color="auto"/>
        <w:left w:val="none" w:sz="0" w:space="0" w:color="auto"/>
        <w:bottom w:val="none" w:sz="0" w:space="0" w:color="auto"/>
        <w:right w:val="none" w:sz="0" w:space="0" w:color="auto"/>
      </w:divBdr>
      <w:divsChild>
        <w:div w:id="1807311394">
          <w:marLeft w:val="0"/>
          <w:marRight w:val="0"/>
          <w:marTop w:val="0"/>
          <w:marBottom w:val="0"/>
          <w:divBdr>
            <w:top w:val="none" w:sz="0" w:space="0" w:color="auto"/>
            <w:left w:val="none" w:sz="0" w:space="0" w:color="auto"/>
            <w:bottom w:val="none" w:sz="0" w:space="0" w:color="auto"/>
            <w:right w:val="none" w:sz="0" w:space="0" w:color="auto"/>
          </w:divBdr>
          <w:divsChild>
            <w:div w:id="1418138168">
              <w:marLeft w:val="0"/>
              <w:marRight w:val="0"/>
              <w:marTop w:val="0"/>
              <w:marBottom w:val="0"/>
              <w:divBdr>
                <w:top w:val="none" w:sz="0" w:space="0" w:color="auto"/>
                <w:left w:val="none" w:sz="0" w:space="0" w:color="auto"/>
                <w:bottom w:val="none" w:sz="0" w:space="0" w:color="auto"/>
                <w:right w:val="none" w:sz="0" w:space="0" w:color="auto"/>
              </w:divBdr>
              <w:divsChild>
                <w:div w:id="122625008">
                  <w:marLeft w:val="0"/>
                  <w:marRight w:val="0"/>
                  <w:marTop w:val="0"/>
                  <w:marBottom w:val="0"/>
                  <w:divBdr>
                    <w:top w:val="none" w:sz="0" w:space="0" w:color="auto"/>
                    <w:left w:val="none" w:sz="0" w:space="0" w:color="auto"/>
                    <w:bottom w:val="none" w:sz="0" w:space="0" w:color="auto"/>
                    <w:right w:val="none" w:sz="0" w:space="0" w:color="auto"/>
                  </w:divBdr>
                  <w:divsChild>
                    <w:div w:id="1969428338">
                      <w:marLeft w:val="120"/>
                      <w:marRight w:val="120"/>
                      <w:marTop w:val="0"/>
                      <w:marBottom w:val="0"/>
                      <w:divBdr>
                        <w:top w:val="none" w:sz="0" w:space="0" w:color="auto"/>
                        <w:left w:val="none" w:sz="0" w:space="0" w:color="auto"/>
                        <w:bottom w:val="none" w:sz="0" w:space="0" w:color="auto"/>
                        <w:right w:val="none" w:sz="0" w:space="0" w:color="auto"/>
                      </w:divBdr>
                      <w:divsChild>
                        <w:div w:id="740785591">
                          <w:marLeft w:val="0"/>
                          <w:marRight w:val="0"/>
                          <w:marTop w:val="0"/>
                          <w:marBottom w:val="0"/>
                          <w:divBdr>
                            <w:top w:val="none" w:sz="0" w:space="0" w:color="auto"/>
                            <w:left w:val="none" w:sz="0" w:space="0" w:color="auto"/>
                            <w:bottom w:val="none" w:sz="0" w:space="0" w:color="auto"/>
                            <w:right w:val="none" w:sz="0" w:space="0" w:color="auto"/>
                          </w:divBdr>
                          <w:divsChild>
                            <w:div w:id="329214317">
                              <w:marLeft w:val="0"/>
                              <w:marRight w:val="0"/>
                              <w:marTop w:val="0"/>
                              <w:marBottom w:val="0"/>
                              <w:divBdr>
                                <w:top w:val="none" w:sz="0" w:space="0" w:color="auto"/>
                                <w:left w:val="none" w:sz="0" w:space="0" w:color="auto"/>
                                <w:bottom w:val="none" w:sz="0" w:space="0" w:color="auto"/>
                                <w:right w:val="none" w:sz="0" w:space="0" w:color="auto"/>
                              </w:divBdr>
                              <w:divsChild>
                                <w:div w:id="1627927536">
                                  <w:marLeft w:val="0"/>
                                  <w:marRight w:val="0"/>
                                  <w:marTop w:val="0"/>
                                  <w:marBottom w:val="0"/>
                                  <w:divBdr>
                                    <w:top w:val="none" w:sz="0" w:space="0" w:color="auto"/>
                                    <w:left w:val="none" w:sz="0" w:space="0" w:color="auto"/>
                                    <w:bottom w:val="none" w:sz="0" w:space="0" w:color="auto"/>
                                    <w:right w:val="none" w:sz="0" w:space="0" w:color="auto"/>
                                  </w:divBdr>
                                  <w:divsChild>
                                    <w:div w:id="151724550">
                                      <w:marLeft w:val="0"/>
                                      <w:marRight w:val="0"/>
                                      <w:marTop w:val="0"/>
                                      <w:marBottom w:val="0"/>
                                      <w:divBdr>
                                        <w:top w:val="none" w:sz="0" w:space="0" w:color="auto"/>
                                        <w:left w:val="none" w:sz="0" w:space="0" w:color="auto"/>
                                        <w:bottom w:val="none" w:sz="0" w:space="0" w:color="auto"/>
                                        <w:right w:val="none" w:sz="0" w:space="0" w:color="auto"/>
                                      </w:divBdr>
                                      <w:divsChild>
                                        <w:div w:id="1456406658">
                                          <w:marLeft w:val="0"/>
                                          <w:marRight w:val="0"/>
                                          <w:marTop w:val="0"/>
                                          <w:marBottom w:val="0"/>
                                          <w:divBdr>
                                            <w:top w:val="none" w:sz="0" w:space="0" w:color="auto"/>
                                            <w:left w:val="none" w:sz="0" w:space="0" w:color="auto"/>
                                            <w:bottom w:val="none" w:sz="0" w:space="0" w:color="auto"/>
                                            <w:right w:val="none" w:sz="0" w:space="0" w:color="auto"/>
                                          </w:divBdr>
                                          <w:divsChild>
                                            <w:div w:id="119966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872107">
      <w:bodyDiv w:val="1"/>
      <w:marLeft w:val="0"/>
      <w:marRight w:val="0"/>
      <w:marTop w:val="0"/>
      <w:marBottom w:val="0"/>
      <w:divBdr>
        <w:top w:val="none" w:sz="0" w:space="0" w:color="auto"/>
        <w:left w:val="none" w:sz="0" w:space="0" w:color="auto"/>
        <w:bottom w:val="none" w:sz="0" w:space="0" w:color="auto"/>
        <w:right w:val="none" w:sz="0" w:space="0" w:color="auto"/>
      </w:divBdr>
      <w:divsChild>
        <w:div w:id="537818279">
          <w:marLeft w:val="0"/>
          <w:marRight w:val="0"/>
          <w:marTop w:val="0"/>
          <w:marBottom w:val="0"/>
          <w:divBdr>
            <w:top w:val="none" w:sz="0" w:space="0" w:color="auto"/>
            <w:left w:val="none" w:sz="0" w:space="0" w:color="auto"/>
            <w:bottom w:val="none" w:sz="0" w:space="0" w:color="auto"/>
            <w:right w:val="none" w:sz="0" w:space="0" w:color="auto"/>
          </w:divBdr>
          <w:divsChild>
            <w:div w:id="1366827945">
              <w:marLeft w:val="0"/>
              <w:marRight w:val="0"/>
              <w:marTop w:val="0"/>
              <w:marBottom w:val="0"/>
              <w:divBdr>
                <w:top w:val="none" w:sz="0" w:space="0" w:color="auto"/>
                <w:left w:val="none" w:sz="0" w:space="0" w:color="auto"/>
                <w:bottom w:val="none" w:sz="0" w:space="0" w:color="auto"/>
                <w:right w:val="none" w:sz="0" w:space="0" w:color="auto"/>
              </w:divBdr>
              <w:divsChild>
                <w:div w:id="1051659410">
                  <w:marLeft w:val="0"/>
                  <w:marRight w:val="0"/>
                  <w:marTop w:val="0"/>
                  <w:marBottom w:val="0"/>
                  <w:divBdr>
                    <w:top w:val="none" w:sz="0" w:space="0" w:color="auto"/>
                    <w:left w:val="none" w:sz="0" w:space="0" w:color="auto"/>
                    <w:bottom w:val="none" w:sz="0" w:space="0" w:color="auto"/>
                    <w:right w:val="none" w:sz="0" w:space="0" w:color="auto"/>
                  </w:divBdr>
                  <w:divsChild>
                    <w:div w:id="146560047">
                      <w:marLeft w:val="120"/>
                      <w:marRight w:val="120"/>
                      <w:marTop w:val="0"/>
                      <w:marBottom w:val="0"/>
                      <w:divBdr>
                        <w:top w:val="none" w:sz="0" w:space="0" w:color="auto"/>
                        <w:left w:val="none" w:sz="0" w:space="0" w:color="auto"/>
                        <w:bottom w:val="none" w:sz="0" w:space="0" w:color="auto"/>
                        <w:right w:val="none" w:sz="0" w:space="0" w:color="auto"/>
                      </w:divBdr>
                      <w:divsChild>
                        <w:div w:id="607657843">
                          <w:marLeft w:val="0"/>
                          <w:marRight w:val="0"/>
                          <w:marTop w:val="0"/>
                          <w:marBottom w:val="0"/>
                          <w:divBdr>
                            <w:top w:val="none" w:sz="0" w:space="0" w:color="auto"/>
                            <w:left w:val="none" w:sz="0" w:space="0" w:color="auto"/>
                            <w:bottom w:val="none" w:sz="0" w:space="0" w:color="auto"/>
                            <w:right w:val="none" w:sz="0" w:space="0" w:color="auto"/>
                          </w:divBdr>
                          <w:divsChild>
                            <w:div w:id="412095580">
                              <w:marLeft w:val="0"/>
                              <w:marRight w:val="0"/>
                              <w:marTop w:val="0"/>
                              <w:marBottom w:val="0"/>
                              <w:divBdr>
                                <w:top w:val="none" w:sz="0" w:space="0" w:color="auto"/>
                                <w:left w:val="none" w:sz="0" w:space="0" w:color="auto"/>
                                <w:bottom w:val="none" w:sz="0" w:space="0" w:color="auto"/>
                                <w:right w:val="none" w:sz="0" w:space="0" w:color="auto"/>
                              </w:divBdr>
                              <w:divsChild>
                                <w:div w:id="961419803">
                                  <w:marLeft w:val="0"/>
                                  <w:marRight w:val="0"/>
                                  <w:marTop w:val="0"/>
                                  <w:marBottom w:val="0"/>
                                  <w:divBdr>
                                    <w:top w:val="none" w:sz="0" w:space="0" w:color="auto"/>
                                    <w:left w:val="none" w:sz="0" w:space="0" w:color="auto"/>
                                    <w:bottom w:val="none" w:sz="0" w:space="0" w:color="auto"/>
                                    <w:right w:val="none" w:sz="0" w:space="0" w:color="auto"/>
                                  </w:divBdr>
                                  <w:divsChild>
                                    <w:div w:id="1040285106">
                                      <w:marLeft w:val="0"/>
                                      <w:marRight w:val="0"/>
                                      <w:marTop w:val="0"/>
                                      <w:marBottom w:val="0"/>
                                      <w:divBdr>
                                        <w:top w:val="none" w:sz="0" w:space="0" w:color="auto"/>
                                        <w:left w:val="none" w:sz="0" w:space="0" w:color="auto"/>
                                        <w:bottom w:val="none" w:sz="0" w:space="0" w:color="auto"/>
                                        <w:right w:val="none" w:sz="0" w:space="0" w:color="auto"/>
                                      </w:divBdr>
                                      <w:divsChild>
                                        <w:div w:id="968974254">
                                          <w:marLeft w:val="0"/>
                                          <w:marRight w:val="0"/>
                                          <w:marTop w:val="0"/>
                                          <w:marBottom w:val="0"/>
                                          <w:divBdr>
                                            <w:top w:val="none" w:sz="0" w:space="0" w:color="auto"/>
                                            <w:left w:val="none" w:sz="0" w:space="0" w:color="auto"/>
                                            <w:bottom w:val="none" w:sz="0" w:space="0" w:color="auto"/>
                                            <w:right w:val="none" w:sz="0" w:space="0" w:color="auto"/>
                                          </w:divBdr>
                                          <w:divsChild>
                                            <w:div w:id="156286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3927818">
      <w:bodyDiv w:val="1"/>
      <w:marLeft w:val="0"/>
      <w:marRight w:val="0"/>
      <w:marTop w:val="0"/>
      <w:marBottom w:val="0"/>
      <w:divBdr>
        <w:top w:val="none" w:sz="0" w:space="0" w:color="auto"/>
        <w:left w:val="none" w:sz="0" w:space="0" w:color="auto"/>
        <w:bottom w:val="none" w:sz="0" w:space="0" w:color="auto"/>
        <w:right w:val="none" w:sz="0" w:space="0" w:color="auto"/>
      </w:divBdr>
      <w:divsChild>
        <w:div w:id="1041826699">
          <w:marLeft w:val="0"/>
          <w:marRight w:val="0"/>
          <w:marTop w:val="0"/>
          <w:marBottom w:val="0"/>
          <w:divBdr>
            <w:top w:val="none" w:sz="0" w:space="0" w:color="auto"/>
            <w:left w:val="none" w:sz="0" w:space="0" w:color="auto"/>
            <w:bottom w:val="none" w:sz="0" w:space="0" w:color="auto"/>
            <w:right w:val="none" w:sz="0" w:space="0" w:color="auto"/>
          </w:divBdr>
          <w:divsChild>
            <w:div w:id="1108546693">
              <w:marLeft w:val="0"/>
              <w:marRight w:val="0"/>
              <w:marTop w:val="0"/>
              <w:marBottom w:val="0"/>
              <w:divBdr>
                <w:top w:val="none" w:sz="0" w:space="0" w:color="auto"/>
                <w:left w:val="none" w:sz="0" w:space="0" w:color="auto"/>
                <w:bottom w:val="none" w:sz="0" w:space="0" w:color="auto"/>
                <w:right w:val="none" w:sz="0" w:space="0" w:color="auto"/>
              </w:divBdr>
              <w:divsChild>
                <w:div w:id="1278485098">
                  <w:marLeft w:val="0"/>
                  <w:marRight w:val="0"/>
                  <w:marTop w:val="0"/>
                  <w:marBottom w:val="0"/>
                  <w:divBdr>
                    <w:top w:val="none" w:sz="0" w:space="0" w:color="auto"/>
                    <w:left w:val="none" w:sz="0" w:space="0" w:color="auto"/>
                    <w:bottom w:val="none" w:sz="0" w:space="0" w:color="auto"/>
                    <w:right w:val="none" w:sz="0" w:space="0" w:color="auto"/>
                  </w:divBdr>
                  <w:divsChild>
                    <w:div w:id="1941177726">
                      <w:marLeft w:val="120"/>
                      <w:marRight w:val="120"/>
                      <w:marTop w:val="0"/>
                      <w:marBottom w:val="0"/>
                      <w:divBdr>
                        <w:top w:val="none" w:sz="0" w:space="0" w:color="auto"/>
                        <w:left w:val="none" w:sz="0" w:space="0" w:color="auto"/>
                        <w:bottom w:val="none" w:sz="0" w:space="0" w:color="auto"/>
                        <w:right w:val="none" w:sz="0" w:space="0" w:color="auto"/>
                      </w:divBdr>
                      <w:divsChild>
                        <w:div w:id="659622939">
                          <w:marLeft w:val="0"/>
                          <w:marRight w:val="0"/>
                          <w:marTop w:val="0"/>
                          <w:marBottom w:val="0"/>
                          <w:divBdr>
                            <w:top w:val="none" w:sz="0" w:space="0" w:color="auto"/>
                            <w:left w:val="none" w:sz="0" w:space="0" w:color="auto"/>
                            <w:bottom w:val="none" w:sz="0" w:space="0" w:color="auto"/>
                            <w:right w:val="none" w:sz="0" w:space="0" w:color="auto"/>
                          </w:divBdr>
                          <w:divsChild>
                            <w:div w:id="118763744">
                              <w:marLeft w:val="0"/>
                              <w:marRight w:val="0"/>
                              <w:marTop w:val="0"/>
                              <w:marBottom w:val="0"/>
                              <w:divBdr>
                                <w:top w:val="none" w:sz="0" w:space="0" w:color="auto"/>
                                <w:left w:val="none" w:sz="0" w:space="0" w:color="auto"/>
                                <w:bottom w:val="none" w:sz="0" w:space="0" w:color="auto"/>
                                <w:right w:val="none" w:sz="0" w:space="0" w:color="auto"/>
                              </w:divBdr>
                              <w:divsChild>
                                <w:div w:id="178937062">
                                  <w:marLeft w:val="0"/>
                                  <w:marRight w:val="0"/>
                                  <w:marTop w:val="0"/>
                                  <w:marBottom w:val="0"/>
                                  <w:divBdr>
                                    <w:top w:val="none" w:sz="0" w:space="0" w:color="auto"/>
                                    <w:left w:val="none" w:sz="0" w:space="0" w:color="auto"/>
                                    <w:bottom w:val="none" w:sz="0" w:space="0" w:color="auto"/>
                                    <w:right w:val="none" w:sz="0" w:space="0" w:color="auto"/>
                                  </w:divBdr>
                                  <w:divsChild>
                                    <w:div w:id="803424702">
                                      <w:marLeft w:val="0"/>
                                      <w:marRight w:val="0"/>
                                      <w:marTop w:val="0"/>
                                      <w:marBottom w:val="0"/>
                                      <w:divBdr>
                                        <w:top w:val="none" w:sz="0" w:space="0" w:color="auto"/>
                                        <w:left w:val="none" w:sz="0" w:space="0" w:color="auto"/>
                                        <w:bottom w:val="none" w:sz="0" w:space="0" w:color="auto"/>
                                        <w:right w:val="none" w:sz="0" w:space="0" w:color="auto"/>
                                      </w:divBdr>
                                      <w:divsChild>
                                        <w:div w:id="1590314927">
                                          <w:marLeft w:val="0"/>
                                          <w:marRight w:val="0"/>
                                          <w:marTop w:val="0"/>
                                          <w:marBottom w:val="0"/>
                                          <w:divBdr>
                                            <w:top w:val="none" w:sz="0" w:space="0" w:color="auto"/>
                                            <w:left w:val="none" w:sz="0" w:space="0" w:color="auto"/>
                                            <w:bottom w:val="none" w:sz="0" w:space="0" w:color="auto"/>
                                            <w:right w:val="none" w:sz="0" w:space="0" w:color="auto"/>
                                          </w:divBdr>
                                          <w:divsChild>
                                            <w:div w:id="64959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edumail.vic.gov.au/OWA/redir.aspx?C=joX0d6AcmDpHaqR7B51WvoctKn_WC03lhu14fgs0hZv_y_TjYbHVCA..&amp;URL=http%3a%2f%2fwww.vcaa.vic.edu.au%2fPages%2faboutus%2fpolicies%2fpolicy-copyright.aspx"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vcaa2015.esa.edu.au/" TargetMode="External"/><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14:paraId="3246A7D0" w14:textId="77777777"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14258C"/>
    <w:rsid w:val="00A950D3"/>
    <w:rsid w:val="00AB54ED"/>
    <w:rsid w:val="00B86BAD"/>
    <w:rsid w:val="00B96D8B"/>
    <w:rsid w:val="00CB496B"/>
    <w:rsid w:val="00CC36B3"/>
    <w:rsid w:val="00D23BED"/>
    <w:rsid w:val="00E13853"/>
    <w:rsid w:val="00E8783C"/>
    <w:rsid w:val="00EA0042"/>
    <w:rsid w:val="00EF0670"/>
    <w:rsid w:val="00F930F5"/>
    <w:rsid w:val="00FC58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246A7D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1CD39-465B-4B7E-BDC1-F5A92229C5FC}"/>
</file>

<file path=customXml/itemProps2.xml><?xml version="1.0" encoding="utf-8"?>
<ds:datastoreItem xmlns:ds="http://schemas.openxmlformats.org/officeDocument/2006/customXml" ds:itemID="{31614907-1001-4E1D-9025-FFD1AAA6EDE0}"/>
</file>

<file path=customXml/itemProps3.xml><?xml version="1.0" encoding="utf-8"?>
<ds:datastoreItem xmlns:ds="http://schemas.openxmlformats.org/officeDocument/2006/customXml" ds:itemID="{A15AE4B9-88F9-4F41-BDE4-59A29E3D013F}"/>
</file>

<file path=customXml/itemProps4.xml><?xml version="1.0" encoding="utf-8"?>
<ds:datastoreItem xmlns:ds="http://schemas.openxmlformats.org/officeDocument/2006/customXml" ds:itemID="{15AF4B01-B795-467F-8D60-6400ADDF2D76}"/>
</file>

<file path=docProps/app.xml><?xml version="1.0" encoding="utf-8"?>
<Properties xmlns="http://schemas.openxmlformats.org/officeDocument/2006/extended-properties" xmlns:vt="http://schemas.openxmlformats.org/officeDocument/2006/docPropsVTypes">
  <Template>Normal.dotm</Template>
  <TotalTime>0</TotalTime>
  <Pages>1</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Numeracy Learning Progression – Multiplicative strategies – Foundation to Level 4 span</vt:lpstr>
    </vt:vector>
  </TitlesOfParts>
  <Company>Victorian Curriculum and Assessment Authority</Company>
  <LinksUpToDate>false</LinksUpToDate>
  <CharactersWithSpaces>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Numeracy Learning Progression – Multiplicative strategies – Foundation to Level 4 span</dc:title>
  <dc:creator>vcaa.f10.curriculum@edumail.vic.gov.au</dc:creator>
  <cp:keywords>Mathematics, Numeracy; Learning Progression</cp:keywords>
  <cp:lastModifiedBy>Driver, Tim P</cp:lastModifiedBy>
  <cp:revision>2</cp:revision>
  <cp:lastPrinted>2018-03-14T23:51:00Z</cp:lastPrinted>
  <dcterms:created xsi:type="dcterms:W3CDTF">2018-05-09T00:17:00Z</dcterms:created>
  <dcterms:modified xsi:type="dcterms:W3CDTF">2018-05-09T00:17:00Z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